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styles.xml" ContentType="application/vnd.openxmlformats-officedocument.wordprocessingml.styles+xml"/>
  <Override PartName="/word/footer4.xml" ContentType="application/vnd.openxmlformats-officedocument.wordprocessingml.footer+xml"/>
  <Override PartName="/word/media/image3.jpeg" ContentType="image/jpeg"/>
  <Override PartName="/word/document.xml" ContentType="application/vnd.openxmlformats-officedocument.wordprocessingml.document.main+xml"/>
  <Override PartName="/word/media/image4.jpeg" ContentType="image/jpeg"/>
  <Override PartName="/word/media/image2.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footer2.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media/image32.jpeg" ContentType="image/jpeg"/>
  <Override PartName="/word/media/image31.jpeg" ContentType="image/jpeg"/>
  <Override PartName="/word/media/image30.jpeg" ContentType="image/jpeg"/>
  <Override PartName="/word/media/image29.jpeg" ContentType="image/jpeg"/>
  <Override PartName="/word/media/image28.jpeg" ContentType="image/jpeg"/>
  <Override PartName="/word/media/image27.jpeg" ContentType="image/jpeg"/>
  <Override PartName="/word/media/image26.jpeg" ContentType="image/jpeg"/>
  <Override PartName="/word/media/image25.jpeg" ContentType="image/jpeg"/>
  <Override PartName="/word/media/image34.wmf" ContentType="image/x-wmf"/>
  <Override PartName="/word/media/image33.wmf" ContentType="image/x-wmf"/>
  <Override PartName="/word/media/image1.wmf" ContentType="image/x-wmf"/>
  <Override PartName="/customXml/itemProps2.xml" ContentType="application/vnd.openxmlformats-officedocument.customXmlProperties+xml"/>
  <Override PartName="/customXml/itemProps1.xml" ContentType="application/vnd.openxmlformats-officedocument.customXmlProperties+xml"/>
  <Override PartName="/word/_rels/document.xml.rels" ContentType="application/vnd.openxmlformats-package.relationships+xml"/>
  <Override PartName="/customXml/itemProps3.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uppressAutoHyphens w:val="true"/>
        <w:ind w:left="0" w:right="0" w:hanging="0"/>
        <w:jc w:val="both"/>
        <w:rPr/>
      </w:pPr>
      <w:r>
        <w:rPr>
          <w:b/>
          <w:i/>
          <w:spacing w:val="0"/>
          <w:sz w:val="28"/>
          <w:szCs w:val="28"/>
        </w:rPr>
        <w:t xml:space="preserve">            </w:t>
      </w:r>
      <w:r>
        <w:rPr>
          <w:b/>
          <w:i/>
          <w:spacing w:val="0"/>
          <w:sz w:val="72"/>
          <w:szCs w:val="72"/>
        </w:rPr>
        <w:t>ehs</w:t>
      </w:r>
      <w:r>
        <w:fldChar w:fldCharType="begin"/>
      </w:r>
      <w:r>
        <w:rPr/>
        <w:instrText>PRIVATE</w:instrText>
      </w:r>
      <w:r>
        <w:rPr/>
        <w:fldChar w:fldCharType="separate"/>
      </w:r>
      <w:bookmarkStart w:id="0" w:name="__Fieldmark__3_112070649"/>
      <w:r>
        <w:rPr/>
      </w:r>
      <w:r>
        <w:rPr/>
      </w:r>
      <w:r>
        <w:rPr/>
        <w:fldChar w:fldCharType="end"/>
      </w:r>
      <w:bookmarkEnd w:id="0"/>
    </w:p>
    <w:p>
      <w:pPr>
        <w:pStyle w:val="Normal"/>
        <w:suppressAutoHyphens w:val="true"/>
        <w:ind w:left="0" w:right="0" w:hanging="0"/>
        <w:jc w:val="both"/>
        <w:rPr>
          <w:b/>
          <w:b/>
          <w:i/>
          <w:i/>
          <w:spacing w:val="0"/>
        </w:rPr>
      </w:pPr>
      <w:r>
        <w:rPr>
          <w:b/>
          <w:i/>
          <w:spacing w:val="0"/>
        </w:rPr>
        <w:t>espérance hauts de seine</w:t>
      </w:r>
    </w:p>
    <w:p>
      <w:pPr>
        <w:pStyle w:val="Normal"/>
        <w:suppressAutoHyphens w:val="true"/>
        <w:ind w:left="0" w:right="0" w:hanging="0"/>
        <w:jc w:val="both"/>
        <w:rPr>
          <w:b/>
          <w:b/>
          <w:i/>
          <w:i/>
          <w:spacing w:val="0"/>
        </w:rPr>
      </w:pPr>
      <w:r>
        <w:rPr>
          <w:b/>
          <w:i/>
          <w:spacing w:val="0"/>
        </w:rPr>
        <w:t xml:space="preserve">       </w:t>
      </w:r>
      <w:r>
        <w:rPr>
          <w:b/>
          <w:i/>
          <w:spacing w:val="0"/>
        </w:rPr>
        <w:t>1 rue de l’égalité</w:t>
      </w:r>
    </w:p>
    <w:p>
      <w:pPr>
        <w:pStyle w:val="Normal"/>
        <w:suppressAutoHyphens w:val="true"/>
        <w:ind w:left="0" w:right="0" w:hanging="0"/>
        <w:jc w:val="both"/>
        <w:rPr>
          <w:b/>
          <w:b/>
          <w:i/>
          <w:i/>
          <w:spacing w:val="0"/>
        </w:rPr>
      </w:pPr>
      <w:r>
        <w:rPr>
          <w:b/>
          <w:i/>
          <w:spacing w:val="0"/>
        </w:rPr>
        <w:t xml:space="preserve">     </w:t>
      </w:r>
      <w:r>
        <w:rPr>
          <w:b/>
          <w:i/>
          <w:spacing w:val="0"/>
        </w:rPr>
        <w:t>92220 BAGNEUX</w:t>
      </w:r>
    </w:p>
    <w:p>
      <w:pPr>
        <w:pStyle w:val="Normal"/>
        <w:suppressAutoHyphens w:val="true"/>
        <w:ind w:left="0" w:right="0" w:hanging="0"/>
        <w:rPr>
          <w:b/>
          <w:b/>
          <w:i/>
          <w:i/>
          <w:spacing w:val="0"/>
        </w:rPr>
      </w:pPr>
      <w:r>
        <w:rPr>
          <w:b/>
          <w:i/>
          <w:spacing w:val="0"/>
        </w:rPr>
        <w:t xml:space="preserve">    </w:t>
      </w:r>
      <w:r>
        <w:rPr>
          <w:b/>
          <w:i/>
          <w:spacing w:val="0"/>
        </w:rPr>
        <w:t>Tel    01 55 58 00 91</w:t>
      </w:r>
    </w:p>
    <w:p>
      <w:pPr>
        <w:pStyle w:val="Titre2"/>
        <w:ind w:left="0" w:right="0" w:hanging="0"/>
        <w:rPr>
          <w:spacing w:val="0"/>
          <w:sz w:val="24"/>
          <w:szCs w:val="24"/>
        </w:rPr>
      </w:pPr>
      <w:r>
        <w:rPr>
          <w:sz w:val="24"/>
          <w:szCs w:val="24"/>
        </w:rPr>
        <w:t xml:space="preserve">    </w:t>
      </w:r>
      <w:r>
        <w:rPr>
          <w:sz w:val="24"/>
          <w:szCs w:val="24"/>
        </w:rPr>
        <w:t>Fax 01 55 58 00 91</w:t>
      </w:r>
    </w:p>
    <w:p>
      <w:pPr>
        <w:pStyle w:val="Normal"/>
        <w:ind w:left="0" w:right="0" w:hanging="0"/>
        <w:rPr>
          <w:sz w:val="40"/>
        </w:rPr>
      </w:pPr>
      <w:r>
        <w:rPr>
          <w:sz w:val="40"/>
        </w:rPr>
        <w:t xml:space="preserve">      </w:t>
      </w:r>
    </w:p>
    <w:p>
      <w:pPr>
        <w:pStyle w:val="Normal"/>
        <w:ind w:left="0" w:right="0" w:hanging="0"/>
        <w:rPr/>
      </w:pPr>
      <w:r>
        <w:rPr>
          <w:rStyle w:val="LienInternet"/>
        </w:rPr>
        <w:t>xxxxxxxx</w:t>
      </w:r>
    </w:p>
    <w:p>
      <w:pPr>
        <w:pStyle w:val="Normal"/>
        <w:ind w:left="0" w:right="0" w:hanging="0"/>
        <w:rPr>
          <w:sz w:val="40"/>
        </w:rPr>
      </w:pPr>
      <w:r>
        <w:rPr>
          <w:sz w:val="40"/>
        </w:rPr>
      </w:r>
    </w:p>
    <w:p>
      <w:pPr>
        <w:pStyle w:val="Normal"/>
        <w:ind w:left="0" w:right="0" w:hanging="0"/>
        <w:rPr>
          <w:sz w:val="40"/>
        </w:rPr>
      </w:pPr>
      <w:r>
        <w:rPr>
          <w:sz w:val="40"/>
        </w:rPr>
      </w:r>
    </w:p>
    <w:p>
      <w:pPr>
        <w:pStyle w:val="Normal"/>
        <w:ind w:left="0" w:right="0" w:hanging="0"/>
        <w:rPr>
          <w:sz w:val="40"/>
        </w:rPr>
      </w:pPr>
      <w:r>
        <w:rPr>
          <w:sz w:val="40"/>
        </w:rPr>
      </w:r>
    </w:p>
    <w:p>
      <w:pPr>
        <w:pStyle w:val="Normal"/>
        <w:ind w:left="0" w:right="0" w:hanging="0"/>
        <w:rPr>
          <w:sz w:val="40"/>
        </w:rPr>
      </w:pPr>
      <w:r>
        <w:rPr>
          <w:sz w:val="40"/>
        </w:rPr>
      </w:r>
    </w:p>
    <w:p>
      <w:pPr>
        <w:pStyle w:val="Normal"/>
        <w:ind w:left="0" w:right="0" w:hanging="0"/>
        <w:rPr>
          <w:sz w:val="40"/>
        </w:rPr>
      </w:pPr>
      <w:r>
        <w:rPr>
          <w:sz w:val="40"/>
        </w:rPr>
      </w:r>
    </w:p>
    <w:p>
      <w:pPr>
        <w:pStyle w:val="Normal"/>
        <w:ind w:left="0" w:right="0" w:hanging="0"/>
        <w:rPr>
          <w:sz w:val="40"/>
        </w:rPr>
      </w:pPr>
      <w:r>
        <w:rPr>
          <w:sz w:val="40"/>
        </w:rPr>
      </w:r>
    </w:p>
    <w:p>
      <w:pPr>
        <w:pStyle w:val="Normal"/>
        <w:ind w:left="0" w:right="0" w:hanging="0"/>
        <w:jc w:val="center"/>
        <w:rPr>
          <w:b/>
          <w:b/>
          <w:bCs/>
          <w:sz w:val="40"/>
        </w:rPr>
      </w:pPr>
      <w:r>
        <w:rPr>
          <w:b/>
          <w:bCs/>
          <w:sz w:val="40"/>
        </w:rPr>
        <w:t>PROJET DE RESIDENCE-ACCUEIL</w:t>
      </w:r>
    </w:p>
    <w:p>
      <w:pPr>
        <w:pStyle w:val="Normal"/>
        <w:ind w:left="0" w:right="0" w:hanging="0"/>
        <w:jc w:val="center"/>
        <w:rPr>
          <w:b/>
          <w:b/>
          <w:bCs/>
          <w:sz w:val="40"/>
        </w:rPr>
      </w:pPr>
      <w:r>
        <w:rPr>
          <w:b/>
          <w:bCs/>
          <w:sz w:val="40"/>
        </w:rPr>
        <w:t>SURESNES (92)</w:t>
      </w:r>
    </w:p>
    <w:p>
      <w:pPr>
        <w:pStyle w:val="Normal"/>
        <w:ind w:left="0" w:right="0" w:hanging="0"/>
        <w:jc w:val="center"/>
        <w:rPr>
          <w:b/>
          <w:b/>
          <w:bCs/>
          <w:sz w:val="40"/>
        </w:rPr>
      </w:pPr>
      <w:r>
        <w:rPr>
          <w:b/>
          <w:bCs/>
          <w:sz w:val="40"/>
        </w:rPr>
      </w:r>
    </w:p>
    <w:p>
      <w:pPr>
        <w:pStyle w:val="Normal"/>
        <w:ind w:left="1134" w:right="0" w:hanging="0"/>
        <w:jc w:val="center"/>
        <w:rPr>
          <w:b/>
          <w:b/>
          <w:bCs/>
          <w:sz w:val="40"/>
        </w:rPr>
      </w:pPr>
      <w:r>
        <w:rPr>
          <w:b/>
          <w:bCs/>
          <w:sz w:val="40"/>
        </w:rPr>
      </w:r>
    </w:p>
    <w:p>
      <w:pPr>
        <w:pStyle w:val="Normal"/>
        <w:ind w:left="1134" w:right="0" w:hanging="0"/>
        <w:rPr>
          <w:b/>
          <w:b/>
          <w:bCs/>
          <w:sz w:val="32"/>
          <w:szCs w:val="32"/>
        </w:rPr>
      </w:pPr>
      <w:r>
        <w:rPr>
          <w:b/>
          <w:bCs/>
          <w:sz w:val="40"/>
        </w:rPr>
        <w:t>(</w:t>
      </w:r>
      <w:r>
        <w:rPr>
          <w:b/>
          <w:bCs/>
          <w:sz w:val="32"/>
          <w:szCs w:val="32"/>
        </w:rPr>
        <w:t>21, allée SANTOS DUMONT, 92150 Suresnes)</w:t>
      </w:r>
    </w:p>
    <w:p>
      <w:pPr>
        <w:pStyle w:val="Normal"/>
        <w:ind w:left="0" w:right="0" w:hanging="0"/>
        <w:rPr>
          <w:b/>
          <w:b/>
          <w:bCs/>
          <w:sz w:val="40"/>
        </w:rPr>
      </w:pPr>
      <w:r>
        <w:rPr>
          <w:b/>
          <w:bCs/>
          <w:sz w:val="40"/>
        </w:rPr>
      </w:r>
    </w:p>
    <w:p>
      <w:pPr>
        <w:pStyle w:val="Normal"/>
        <w:ind w:left="0" w:right="0" w:hanging="0"/>
        <w:rPr>
          <w:b/>
          <w:b/>
          <w:bCs/>
          <w:sz w:val="40"/>
        </w:rPr>
      </w:pPr>
      <w:r>
        <w:rPr>
          <w:b/>
          <w:bCs/>
          <w:sz w:val="40"/>
        </w:rPr>
      </w:r>
    </w:p>
    <w:p>
      <w:pPr>
        <w:pStyle w:val="Normal"/>
        <w:ind w:left="0" w:right="0" w:hanging="0"/>
        <w:rPr>
          <w:sz w:val="40"/>
        </w:rPr>
      </w:pPr>
      <w:r>
        <w:rPr>
          <w:sz w:val="40"/>
        </w:rPr>
      </w:r>
    </w:p>
    <w:p>
      <w:pPr>
        <w:pStyle w:val="Normal"/>
        <w:ind w:left="0" w:right="0" w:hanging="0"/>
        <w:rPr>
          <w:sz w:val="40"/>
        </w:rPr>
      </w:pPr>
      <w:r>
        <w:rPr>
          <w:sz w:val="40"/>
        </w:rPr>
      </w:r>
    </w:p>
    <w:p>
      <w:pPr>
        <w:pStyle w:val="Normal"/>
        <w:ind w:right="0" w:hanging="0"/>
        <w:rPr>
          <w:sz w:val="40"/>
        </w:rPr>
      </w:pPr>
      <w:r>
        <w:rPr>
          <w:sz w:val="40"/>
        </w:rPr>
      </w:r>
    </w:p>
    <w:p>
      <w:pPr>
        <w:pStyle w:val="Normal"/>
        <w:ind w:left="0" w:right="0" w:hanging="0"/>
        <w:rPr>
          <w:sz w:val="40"/>
        </w:rPr>
      </w:pPr>
      <w:r>
        <w:rPr>
          <w:sz w:val="40"/>
        </w:rPr>
      </w:r>
    </w:p>
    <w:p>
      <w:pPr>
        <w:pStyle w:val="Normal"/>
        <w:tabs>
          <w:tab w:val="clear" w:pos="708"/>
          <w:tab w:val="left" w:pos="993" w:leader="none"/>
        </w:tabs>
        <w:ind w:left="0" w:right="0" w:hanging="0"/>
        <w:rPr/>
      </w:pPr>
      <w:r>
        <w:rPr>
          <w:b/>
          <w:bCs/>
        </w:rPr>
        <w:t xml:space="preserve">Présidence : </w:t>
        <w:tab/>
        <w:t xml:space="preserve">Monsieur </w:t>
      </w:r>
      <w:r>
        <w:rPr>
          <w:b/>
          <w:bCs/>
        </w:rPr>
        <w:t>xxxx</w:t>
      </w:r>
    </w:p>
    <w:p>
      <w:pPr>
        <w:pStyle w:val="Normal"/>
        <w:tabs>
          <w:tab w:val="clear" w:pos="708"/>
          <w:tab w:val="left" w:pos="993" w:leader="none"/>
        </w:tabs>
        <w:ind w:left="0" w:right="0" w:hanging="0"/>
        <w:rPr/>
      </w:pPr>
      <w:r>
        <w:rPr>
          <w:b/>
          <w:bCs/>
        </w:rPr>
        <w:t>Direction :</w:t>
        <w:tab/>
        <w:t xml:space="preserve">Monsieur </w:t>
      </w:r>
      <w:r>
        <w:rPr>
          <w:b/>
          <w:bCs/>
        </w:rPr>
        <w:t>xxxx</w:t>
      </w:r>
    </w:p>
    <w:p>
      <w:pPr>
        <w:pStyle w:val="Normal"/>
        <w:tabs>
          <w:tab w:val="clear" w:pos="708"/>
          <w:tab w:val="left" w:pos="993" w:leader="none"/>
        </w:tabs>
        <w:ind w:left="0" w:right="0" w:hanging="0"/>
        <w:rPr/>
      </w:pPr>
      <w:r>
        <w:rPr>
          <w:b/>
          <w:bCs/>
        </w:rPr>
        <w:t xml:space="preserve">Assistance : </w:t>
        <w:tab/>
        <w:t xml:space="preserve">Madame </w:t>
      </w:r>
      <w:r>
        <w:rPr>
          <w:b/>
          <w:bCs/>
        </w:rPr>
        <w:t>xxxx</w:t>
      </w:r>
    </w:p>
    <w:p>
      <w:pPr>
        <w:pStyle w:val="Normal"/>
        <w:tabs>
          <w:tab w:val="clear" w:pos="708"/>
          <w:tab w:val="left" w:pos="993" w:leader="none"/>
        </w:tabs>
        <w:ind w:left="0" w:right="0" w:hanging="0"/>
        <w:rPr>
          <w:b/>
          <w:b/>
          <w:bCs/>
        </w:rPr>
      </w:pPr>
      <w:r>
        <w:rPr>
          <w:b/>
          <w:bCs/>
        </w:rPr>
      </w:r>
    </w:p>
    <w:p>
      <w:pPr>
        <w:pStyle w:val="Normal"/>
        <w:ind w:left="0" w:right="0" w:hanging="0"/>
        <w:rPr>
          <w:b/>
          <w:b/>
          <w:bCs/>
        </w:rPr>
      </w:pPr>
      <w:r>
        <w:rPr>
          <w:b/>
          <w:bCs/>
        </w:rPr>
      </w:r>
    </w:p>
    <w:p>
      <w:pPr>
        <w:pStyle w:val="Normal"/>
        <w:ind w:left="0" w:right="0" w:hanging="0"/>
        <w:rPr>
          <w:b/>
          <w:b/>
          <w:bCs/>
        </w:rPr>
      </w:pPr>
      <w:r>
        <w:rPr>
          <w:b/>
          <w:bCs/>
        </w:rPr>
      </w:r>
    </w:p>
    <w:p>
      <w:pPr>
        <w:pStyle w:val="Normal"/>
        <w:ind w:left="0" w:right="0" w:hanging="0"/>
        <w:rPr>
          <w:b/>
          <w:b/>
          <w:bCs/>
        </w:rPr>
      </w:pPr>
      <w:r>
        <w:rPr>
          <w:b/>
          <w:bCs/>
        </w:rPr>
      </w:r>
    </w:p>
    <w:p>
      <w:pPr>
        <w:pStyle w:val="Titre3"/>
        <w:ind w:left="0" w:right="0" w:hanging="0"/>
        <w:rPr>
          <w:b/>
          <w:b/>
          <w:bCs/>
          <w:sz w:val="32"/>
          <w:szCs w:val="32"/>
        </w:rPr>
      </w:pPr>
      <w:r>
        <w:rPr>
          <w:b/>
          <w:bCs/>
          <w:sz w:val="32"/>
          <w:szCs w:val="32"/>
        </w:rPr>
        <w:t>18 octobre 2018</w:t>
      </w:r>
    </w:p>
    <w:p>
      <w:pPr>
        <w:pStyle w:val="Normal"/>
        <w:ind w:left="0" w:right="0" w:hanging="0"/>
        <w:rPr/>
      </w:pPr>
      <w:r>
        <w:rPr/>
      </w:r>
      <w:r>
        <w:br w:type="page"/>
      </w:r>
    </w:p>
    <w:p>
      <w:pPr>
        <w:pStyle w:val="Normal"/>
        <w:ind w:left="0" w:right="0" w:hanging="0"/>
        <w:jc w:val="center"/>
        <w:rPr>
          <w:b/>
          <w:b/>
          <w:bCs/>
          <w:sz w:val="28"/>
          <w:szCs w:val="28"/>
        </w:rPr>
      </w:pPr>
      <w:r>
        <w:rPr>
          <w:b/>
          <w:bCs/>
          <w:sz w:val="28"/>
          <w:szCs w:val="28"/>
        </w:rPr>
        <w:t>TABLE DES MATIÈRES</w:t>
      </w:r>
    </w:p>
    <w:p>
      <w:pPr>
        <w:pStyle w:val="Normal"/>
        <w:ind w:left="0" w:right="0" w:hanging="0"/>
        <w:rPr>
          <w:b/>
          <w:b/>
          <w:bCs/>
        </w:rPr>
      </w:pPr>
      <w:r>
        <w:rPr>
          <w:b/>
          <w:bCs/>
        </w:rPr>
      </w:r>
    </w:p>
    <w:p>
      <w:pPr>
        <w:pStyle w:val="Normal"/>
        <w:ind w:left="0" w:right="0" w:hanging="0"/>
        <w:rPr>
          <w:b/>
          <w:b/>
          <w:bCs/>
        </w:rPr>
      </w:pPr>
      <w:r>
        <w:rPr>
          <w:b/>
          <w:bCs/>
        </w:rPr>
      </w:r>
    </w:p>
    <w:p>
      <w:pPr>
        <w:pStyle w:val="Normal"/>
        <w:ind w:left="0" w:right="0" w:hanging="0"/>
        <w:rPr>
          <w:b/>
          <w:b/>
          <w:bCs/>
        </w:rPr>
      </w:pPr>
      <w:r>
        <w:rPr>
          <w:b/>
          <w:bCs/>
        </w:rPr>
      </w:r>
    </w:p>
    <w:p>
      <w:pPr>
        <w:pStyle w:val="Normal"/>
        <w:ind w:left="0" w:right="0" w:hanging="0"/>
        <w:rPr>
          <w:b/>
          <w:b/>
          <w:bCs/>
        </w:rPr>
      </w:pPr>
      <w:r>
        <w:rPr>
          <w:b/>
          <w:bCs/>
        </w:rPr>
      </w:r>
    </w:p>
    <w:p>
      <w:pPr>
        <w:pStyle w:val="Normal"/>
        <w:ind w:left="0" w:right="0" w:hanging="0"/>
        <w:rPr>
          <w:b/>
          <w:b/>
          <w:bCs/>
        </w:rPr>
      </w:pPr>
      <w:r>
        <w:rPr>
          <w:b/>
          <w:bCs/>
        </w:rPr>
      </w:r>
    </w:p>
    <w:p>
      <w:pPr>
        <w:pStyle w:val="ListParagraph"/>
        <w:numPr>
          <w:ilvl w:val="0"/>
          <w:numId w:val="23"/>
        </w:numPr>
        <w:tabs>
          <w:tab w:val="clear" w:pos="708"/>
          <w:tab w:val="left" w:pos="8364" w:leader="none"/>
        </w:tabs>
        <w:ind w:left="360" w:right="0" w:hanging="360"/>
        <w:rPr>
          <w:b/>
          <w:b/>
          <w:bCs/>
          <w:sz w:val="28"/>
          <w:szCs w:val="28"/>
        </w:rPr>
      </w:pPr>
      <w:r>
        <w:rPr>
          <w:b/>
          <w:bCs/>
        </w:rPr>
        <w:t xml:space="preserve">L’ASSOCIATION </w:t>
      </w:r>
      <w:r>
        <w:rPr>
          <w:b/>
          <w:bCs/>
          <w:i/>
          <w:sz w:val="28"/>
          <w:szCs w:val="28"/>
        </w:rPr>
        <w:t>espérance hauts de seine</w:t>
      </w:r>
      <w:r>
        <w:rPr>
          <w:b/>
          <w:bCs/>
        </w:rPr>
        <w:t xml:space="preserve"> ET SON PUBLIC</w:t>
      </w:r>
      <w:r>
        <w:rPr>
          <w:b/>
          <w:bCs/>
          <w:sz w:val="28"/>
          <w:szCs w:val="28"/>
        </w:rPr>
        <w:t xml:space="preserve"> </w:t>
        <w:tab/>
      </w:r>
      <w:r>
        <w:rPr>
          <w:b/>
          <w:bCs/>
        </w:rPr>
        <w:t>3 - 8</w:t>
      </w:r>
    </w:p>
    <w:p>
      <w:pPr>
        <w:pStyle w:val="Normal"/>
        <w:tabs>
          <w:tab w:val="clear" w:pos="708"/>
          <w:tab w:val="left" w:pos="8364" w:leader="none"/>
        </w:tabs>
        <w:ind w:left="0" w:right="0" w:hanging="0"/>
        <w:rPr>
          <w:b/>
          <w:b/>
          <w:bCs/>
        </w:rPr>
      </w:pPr>
      <w:r>
        <w:rPr>
          <w:b/>
          <w:bCs/>
        </w:rPr>
      </w:r>
    </w:p>
    <w:p>
      <w:pPr>
        <w:pStyle w:val="ListParagraph"/>
        <w:numPr>
          <w:ilvl w:val="0"/>
          <w:numId w:val="24"/>
        </w:numPr>
        <w:tabs>
          <w:tab w:val="clear" w:pos="708"/>
          <w:tab w:val="left" w:pos="8364" w:leader="none"/>
          <w:tab w:val="left" w:pos="8441" w:leader="none"/>
        </w:tabs>
        <w:spacing w:lineRule="auto" w:line="480"/>
        <w:ind w:left="360" w:right="0" w:hanging="360"/>
        <w:rPr>
          <w:b/>
          <w:b/>
          <w:bCs/>
        </w:rPr>
      </w:pPr>
      <w:r>
        <w:rPr>
          <w:b/>
          <w:bCs/>
        </w:rPr>
        <w:t xml:space="preserve">L’association </w:t>
      </w:r>
      <w:r>
        <w:rPr>
          <w:b/>
          <w:bCs/>
          <w:i/>
        </w:rPr>
        <w:t>espérance hauts de seine</w:t>
        <w:tab/>
      </w:r>
      <w:r>
        <w:rPr>
          <w:b/>
          <w:bCs/>
        </w:rPr>
        <w:t>4</w:t>
      </w:r>
    </w:p>
    <w:p>
      <w:pPr>
        <w:pStyle w:val="ListParagraph"/>
        <w:numPr>
          <w:ilvl w:val="0"/>
          <w:numId w:val="24"/>
        </w:numPr>
        <w:tabs>
          <w:tab w:val="clear" w:pos="708"/>
          <w:tab w:val="left" w:pos="8364" w:leader="none"/>
          <w:tab w:val="left" w:pos="8441" w:leader="none"/>
        </w:tabs>
        <w:spacing w:lineRule="auto" w:line="480"/>
        <w:ind w:left="360" w:right="0" w:hanging="360"/>
        <w:rPr>
          <w:b/>
          <w:b/>
          <w:bCs/>
        </w:rPr>
      </w:pPr>
      <w:r>
        <w:rPr>
          <w:b/>
          <w:bCs/>
        </w:rPr>
        <w:t>Population des personnes souffrant de troubles psychiques</w:t>
        <w:tab/>
        <w:t>6</w:t>
      </w:r>
    </w:p>
    <w:p>
      <w:pPr>
        <w:pStyle w:val="ListParagraph"/>
        <w:numPr>
          <w:ilvl w:val="0"/>
          <w:numId w:val="24"/>
        </w:numPr>
        <w:tabs>
          <w:tab w:val="clear" w:pos="708"/>
          <w:tab w:val="left" w:pos="8364" w:leader="none"/>
          <w:tab w:val="left" w:pos="8441" w:leader="none"/>
        </w:tabs>
        <w:spacing w:lineRule="auto" w:line="480"/>
        <w:ind w:left="360" w:right="0" w:hanging="360"/>
        <w:rPr>
          <w:b/>
          <w:b/>
          <w:bCs/>
        </w:rPr>
      </w:pPr>
      <w:r>
        <w:rPr>
          <w:b/>
          <w:bCs/>
        </w:rPr>
        <w:t>Le besoin en logement des personnes malades psychiques</w:t>
        <w:tab/>
        <w:t>7</w:t>
      </w:r>
    </w:p>
    <w:p>
      <w:pPr>
        <w:pStyle w:val="ListParagraph"/>
        <w:numPr>
          <w:ilvl w:val="0"/>
          <w:numId w:val="23"/>
        </w:numPr>
        <w:tabs>
          <w:tab w:val="clear" w:pos="708"/>
          <w:tab w:val="left" w:pos="8364" w:leader="none"/>
          <w:tab w:val="left" w:pos="8441" w:leader="none"/>
        </w:tabs>
        <w:ind w:left="360" w:right="0" w:hanging="360"/>
        <w:rPr>
          <w:b/>
          <w:b/>
          <w:bCs/>
          <w:sz w:val="28"/>
          <w:szCs w:val="28"/>
        </w:rPr>
      </w:pPr>
      <w:r>
        <w:rPr>
          <w:b/>
          <w:bCs/>
          <w:sz w:val="28"/>
          <w:szCs w:val="28"/>
        </w:rPr>
        <w:t>L’OPERATION DE RESIDENCE-ACCUEIL A SURESNES</w:t>
      </w:r>
      <w:r>
        <w:rPr>
          <w:b/>
          <w:bCs/>
        </w:rPr>
        <w:t xml:space="preserve">            9</w:t>
      </w:r>
    </w:p>
    <w:p>
      <w:pPr>
        <w:pStyle w:val="Normal"/>
        <w:tabs>
          <w:tab w:val="clear" w:pos="708"/>
          <w:tab w:val="left" w:pos="8364" w:leader="none"/>
          <w:tab w:val="left" w:pos="8441" w:leader="none"/>
        </w:tabs>
        <w:ind w:right="0" w:hanging="0"/>
        <w:rPr>
          <w:b/>
          <w:b/>
          <w:bCs/>
          <w:sz w:val="28"/>
          <w:szCs w:val="28"/>
        </w:rPr>
      </w:pPr>
      <w:r>
        <w:rPr>
          <w:b/>
          <w:bCs/>
          <w:sz w:val="28"/>
          <w:szCs w:val="28"/>
        </w:rPr>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Opération prévue</w:t>
        <w:tab/>
        <w:t>10</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Accueil favorable sur la commune de Suresnes et le Département</w:t>
        <w:tab/>
        <w:t>12</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Modalités d’accès  à la résidence-accueil</w:t>
        <w:tab/>
        <w:t>12</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Suresnes : une chance pour la résidence                                                                 14</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Admission et durée de l’accueil des résidents</w:t>
        <w:tab/>
        <w:t>14</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Étude du programme de la structure</w:t>
        <w:tab/>
        <w:t>17</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Situation immobilière de la résidence                                                                     17</w:t>
      </w:r>
    </w:p>
    <w:p>
      <w:pPr>
        <w:pStyle w:val="ListParagraph"/>
        <w:numPr>
          <w:ilvl w:val="0"/>
          <w:numId w:val="23"/>
        </w:numPr>
        <w:tabs>
          <w:tab w:val="clear" w:pos="708"/>
          <w:tab w:val="left" w:pos="8364" w:leader="none"/>
          <w:tab w:val="left" w:pos="8441" w:leader="none"/>
        </w:tabs>
        <w:spacing w:lineRule="auto" w:line="480"/>
        <w:ind w:left="360" w:right="0" w:hanging="360"/>
        <w:rPr>
          <w:b/>
          <w:b/>
          <w:bCs/>
        </w:rPr>
      </w:pPr>
      <w:r>
        <w:rPr>
          <w:b/>
          <w:bCs/>
        </w:rPr>
        <w:t>ACCOMPAGNEMENT ET VIE SOCIALE</w:t>
        <w:tab/>
        <w:t>20</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L’accompagnement</w:t>
        <w:tab/>
        <w:t>21</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Les acteurs du soutien aux résidents</w:t>
        <w:tab/>
        <w:t>25</w:t>
      </w:r>
    </w:p>
    <w:p>
      <w:pPr>
        <w:pStyle w:val="ListParagraph"/>
        <w:numPr>
          <w:ilvl w:val="0"/>
          <w:numId w:val="23"/>
        </w:numPr>
        <w:tabs>
          <w:tab w:val="clear" w:pos="708"/>
          <w:tab w:val="left" w:pos="8364" w:leader="none"/>
          <w:tab w:val="left" w:pos="8441" w:leader="none"/>
        </w:tabs>
        <w:spacing w:lineRule="auto" w:line="480"/>
        <w:ind w:left="360" w:right="0" w:hanging="360"/>
        <w:rPr>
          <w:b/>
          <w:b/>
          <w:bCs/>
        </w:rPr>
      </w:pPr>
      <w:r>
        <w:rPr>
          <w:b/>
          <w:bCs/>
        </w:rPr>
        <w:t xml:space="preserve"> </w:t>
      </w:r>
      <w:r>
        <w:rPr>
          <w:b/>
          <w:bCs/>
        </w:rPr>
        <w:t>DONNEES FINANCIERES</w:t>
        <w:tab/>
        <w:t>29</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Les charges                                                                                                                30</w:t>
      </w:r>
    </w:p>
    <w:p>
      <w:pPr>
        <w:pStyle w:val="ListParagraph"/>
        <w:numPr>
          <w:ilvl w:val="6"/>
          <w:numId w:val="23"/>
        </w:numPr>
        <w:tabs>
          <w:tab w:val="clear" w:pos="708"/>
          <w:tab w:val="left" w:pos="8364" w:leader="none"/>
          <w:tab w:val="left" w:pos="8441" w:leader="none"/>
        </w:tabs>
        <w:spacing w:lineRule="auto" w:line="480"/>
        <w:ind w:left="426" w:right="0" w:hanging="360"/>
        <w:rPr>
          <w:b/>
          <w:b/>
          <w:bCs/>
        </w:rPr>
      </w:pPr>
      <w:r>
        <w:rPr>
          <w:b/>
          <w:bCs/>
        </w:rPr>
        <w:t xml:space="preserve">Les recettes                                                                                                                31 </w:t>
      </w:r>
    </w:p>
    <w:p>
      <w:pPr>
        <w:pStyle w:val="ListParagraph"/>
        <w:numPr>
          <w:ilvl w:val="0"/>
          <w:numId w:val="23"/>
        </w:numPr>
        <w:tabs>
          <w:tab w:val="clear" w:pos="708"/>
          <w:tab w:val="left" w:pos="8364" w:leader="none"/>
          <w:tab w:val="left" w:pos="8441" w:leader="none"/>
        </w:tabs>
        <w:spacing w:lineRule="auto" w:line="480"/>
        <w:ind w:left="360" w:right="0" w:hanging="360"/>
        <w:rPr>
          <w:b/>
          <w:b/>
          <w:bCs/>
        </w:rPr>
      </w:pPr>
      <w:r>
        <w:rPr>
          <w:b/>
          <w:bCs/>
        </w:rPr>
        <w:t>ANNEXES                                                                                                                  34</w:t>
      </w:r>
    </w:p>
    <w:p>
      <w:pPr>
        <w:pStyle w:val="Normal"/>
        <w:tabs>
          <w:tab w:val="clear" w:pos="708"/>
          <w:tab w:val="left" w:pos="8364" w:leader="none"/>
          <w:tab w:val="left" w:pos="8441" w:leader="none"/>
        </w:tabs>
        <w:spacing w:lineRule="auto" w:line="480"/>
        <w:ind w:right="0" w:hanging="0"/>
        <w:rPr>
          <w:b/>
          <w:b/>
          <w:bCs/>
        </w:rPr>
      </w:pPr>
      <w:r>
        <w:rPr>
          <w:b/>
          <w:bCs/>
        </w:rPr>
        <w:tab/>
        <w:t xml:space="preserve">                                                                            </w:t>
      </w:r>
    </w:p>
    <w:p>
      <w:pPr>
        <w:pStyle w:val="Normal"/>
        <w:ind w:left="0" w:right="0" w:hanging="0"/>
        <w:rPr>
          <w:b/>
          <w:b/>
          <w:bCs/>
        </w:rPr>
      </w:pPr>
      <w:r>
        <w:rPr>
          <w:b/>
          <w:bCs/>
        </w:rPr>
      </w:r>
    </w:p>
    <w:p>
      <w:pPr>
        <w:pStyle w:val="Normal"/>
        <w:spacing w:lineRule="auto" w:line="276" w:before="0" w:after="200"/>
        <w:jc w:val="both"/>
        <w:rPr>
          <w:b/>
          <w:b/>
          <w:bCs/>
        </w:rPr>
      </w:pPr>
      <w:r>
        <w:rPr>
          <w:b/>
          <w:bCs/>
        </w:rPr>
      </w:r>
    </w:p>
    <w:p>
      <w:pPr>
        <w:pStyle w:val="Normal"/>
        <w:spacing w:lineRule="auto" w:line="276" w:before="0" w:after="200"/>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ListParagraph"/>
        <w:numPr>
          <w:ilvl w:val="0"/>
          <w:numId w:val="12"/>
        </w:numPr>
        <w:spacing w:lineRule="auto" w:line="276" w:before="0" w:after="200"/>
        <w:contextualSpacing/>
        <w:jc w:val="center"/>
        <w:rPr>
          <w:b/>
          <w:b/>
          <w:bCs/>
          <w:sz w:val="36"/>
          <w:szCs w:val="36"/>
        </w:rPr>
      </w:pPr>
      <w:r>
        <w:rPr>
          <w:b/>
          <w:bCs/>
          <w:sz w:val="36"/>
          <w:szCs w:val="36"/>
        </w:rPr>
        <w:t xml:space="preserve">L’ASSOCIATION </w:t>
      </w:r>
      <w:r>
        <w:rPr>
          <w:b/>
          <w:bCs/>
          <w:i/>
          <w:sz w:val="44"/>
          <w:szCs w:val="44"/>
        </w:rPr>
        <w:t>espérance hauts de seine</w:t>
      </w:r>
    </w:p>
    <w:p>
      <w:pPr>
        <w:pStyle w:val="Normal"/>
        <w:spacing w:lineRule="auto" w:line="276" w:before="0" w:after="200"/>
        <w:ind w:left="360" w:hanging="0"/>
        <w:jc w:val="center"/>
        <w:rPr>
          <w:b/>
          <w:b/>
          <w:bCs/>
          <w:sz w:val="36"/>
          <w:szCs w:val="36"/>
        </w:rPr>
      </w:pPr>
      <w:r>
        <w:rPr>
          <w:b/>
          <w:bCs/>
          <w:sz w:val="36"/>
          <w:szCs w:val="36"/>
        </w:rPr>
        <w:t xml:space="preserve"> </w:t>
      </w:r>
      <w:r>
        <w:rPr>
          <w:b/>
          <w:bCs/>
          <w:sz w:val="36"/>
          <w:szCs w:val="36"/>
        </w:rPr>
        <w:t>ET SON PUBLIC</w:t>
      </w:r>
    </w:p>
    <w:p>
      <w:pPr>
        <w:pStyle w:val="Normal"/>
        <w:spacing w:lineRule="auto" w:line="276" w:before="0" w:after="200"/>
        <w:rPr>
          <w:b/>
          <w:b/>
          <w:bCs/>
          <w:sz w:val="36"/>
          <w:szCs w:val="36"/>
        </w:rPr>
      </w:pPr>
      <w:r>
        <w:rPr>
          <w:b/>
          <w:bCs/>
          <w:sz w:val="36"/>
          <w:szCs w:val="36"/>
        </w:rPr>
      </w:r>
      <w:r>
        <w:br w:type="page"/>
      </w:r>
    </w:p>
    <w:p>
      <w:pPr>
        <w:pStyle w:val="ListParagraph"/>
        <w:numPr>
          <w:ilvl w:val="0"/>
          <w:numId w:val="7"/>
        </w:numPr>
        <w:spacing w:lineRule="auto" w:line="276" w:before="0" w:after="200"/>
        <w:contextualSpacing/>
        <w:jc w:val="both"/>
        <w:rPr>
          <w:rFonts w:eastAsia="Calibri" w:eastAsiaTheme="minorHAnsi"/>
          <w:b/>
          <w:b/>
          <w:lang w:eastAsia="en-US"/>
        </w:rPr>
      </w:pPr>
      <w:r>
        <w:rPr>
          <w:b/>
          <w:bCs/>
        </w:rPr>
        <w:t>L</w:t>
      </w:r>
      <w:r>
        <w:rPr>
          <w:rFonts w:eastAsia="Calibri" w:eastAsiaTheme="minorHAnsi"/>
          <w:b/>
          <w:lang w:eastAsia="en-US"/>
        </w:rPr>
        <w:t xml:space="preserve">’ASSOCIATION </w:t>
      </w:r>
      <w:r>
        <w:rPr>
          <w:rFonts w:eastAsia="Calibri" w:eastAsiaTheme="minorHAnsi"/>
          <w:b/>
          <w:i/>
          <w:sz w:val="28"/>
          <w:szCs w:val="28"/>
          <w:lang w:eastAsia="en-US"/>
        </w:rPr>
        <w:t>espérance hauts de seine</w:t>
      </w:r>
    </w:p>
    <w:p>
      <w:pPr>
        <w:pStyle w:val="Normal"/>
        <w:spacing w:lineRule="auto" w:line="276" w:before="0" w:after="200"/>
        <w:jc w:val="both"/>
        <w:rPr>
          <w:rFonts w:eastAsia="Calibri" w:eastAsiaTheme="minorHAnsi"/>
          <w:b/>
          <w:b/>
          <w:i/>
          <w:i/>
          <w:lang w:eastAsia="en-US"/>
        </w:rPr>
      </w:pPr>
      <w:r>
        <w:rPr>
          <w:rFonts w:eastAsia="Calibri" w:eastAsiaTheme="minorHAnsi"/>
          <w:b/>
          <w:i/>
          <w:lang w:eastAsia="en-US"/>
        </w:rPr>
      </w:r>
    </w:p>
    <w:p>
      <w:pPr>
        <w:pStyle w:val="Normal"/>
        <w:spacing w:lineRule="auto" w:line="276" w:before="0" w:after="200"/>
        <w:ind w:left="426" w:hanging="0"/>
        <w:jc w:val="both"/>
        <w:rPr>
          <w:rFonts w:eastAsia="Calibri" w:eastAsiaTheme="minorHAnsi"/>
          <w:lang w:eastAsia="en-US"/>
        </w:rPr>
      </w:pPr>
      <w:r>
        <w:rPr>
          <w:rFonts w:eastAsia="Calibri" w:eastAsiaTheme="minorHAnsi"/>
          <w:b/>
          <w:i/>
          <w:lang w:eastAsia="en-US"/>
        </w:rPr>
        <w:t>Espérance hauts de seine</w:t>
      </w:r>
      <w:r>
        <w:rPr>
          <w:rFonts w:eastAsia="Calibri" w:eastAsiaTheme="minorHAnsi"/>
          <w:lang w:eastAsia="en-US"/>
        </w:rPr>
        <w:t xml:space="preserve"> est une association affiliée à l’UNAFAM (Union nationale de familles et amis de personnes malades ou handicapés psychiques) crée en 1982 par un groupe de parents désireux de mettre en œuvre des alternatives à l’hospitalisation chronique de leur enfant ou de leur proche.</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 xml:space="preserve">Ses statuts : </w:t>
      </w:r>
      <w:r>
        <w:rPr>
          <w:rFonts w:eastAsia="Calibri" w:eastAsiaTheme="minorHAnsi"/>
          <w:b/>
          <w:lang w:eastAsia="en-US"/>
        </w:rPr>
        <w:t xml:space="preserve">« L’association a pour but de mettre en œuvre les moyens susceptibles de favoriser la réinsertion sociale de personnes sujettes à des troubles mentaux </w:t>
      </w:r>
      <w:r>
        <w:rPr>
          <w:rFonts w:eastAsia="Calibri" w:eastAsiaTheme="minorHAnsi"/>
          <w:lang w:eastAsia="en-US"/>
        </w:rPr>
        <w:t>(nous dirions aujourd’hui troubles psychiques)</w:t>
      </w:r>
      <w:r>
        <w:rPr>
          <w:rFonts w:eastAsia="Calibri" w:eastAsiaTheme="minorHAnsi"/>
          <w:b/>
          <w:lang w:eastAsia="en-US"/>
        </w:rPr>
        <w:t xml:space="preserve"> par la création et la gestion de structures appropriées. »</w:t>
      </w:r>
    </w:p>
    <w:p>
      <w:pPr>
        <w:pStyle w:val="Normal"/>
        <w:spacing w:beforeAutospacing="1" w:afterAutospacing="1"/>
        <w:ind w:left="426" w:hanging="0"/>
        <w:jc w:val="both"/>
        <w:rPr/>
      </w:pPr>
      <w:r>
        <w:rPr>
          <w:b/>
          <w:i/>
        </w:rPr>
        <w:t>Espérance hauts de seine</w:t>
      </w:r>
      <w:r>
        <w:rPr/>
        <w:t xml:space="preserve"> a développé une plateforme de structures et équipements variées afin de répondre par quatre pôles essentiels à une démarche sociale inclusive de personnes fragilisées socialement par la maladie psychique :</w:t>
      </w:r>
    </w:p>
    <w:p>
      <w:pPr>
        <w:pStyle w:val="ListParagraph"/>
        <w:numPr>
          <w:ilvl w:val="0"/>
          <w:numId w:val="6"/>
        </w:numPr>
        <w:tabs>
          <w:tab w:val="clear" w:pos="708"/>
          <w:tab w:val="left" w:pos="1134" w:leader="none"/>
        </w:tabs>
        <w:spacing w:lineRule="auto" w:line="276" w:beforeAutospacing="1" w:after="0"/>
        <w:jc w:val="both"/>
        <w:rPr/>
      </w:pPr>
      <w:r>
        <w:rPr/>
        <w:t>Le logement ou l’hébergement</w:t>
      </w:r>
    </w:p>
    <w:p>
      <w:pPr>
        <w:pStyle w:val="Normal"/>
        <w:numPr>
          <w:ilvl w:val="0"/>
          <w:numId w:val="6"/>
        </w:numPr>
        <w:spacing w:lineRule="auto" w:line="276" w:before="0" w:after="0"/>
        <w:contextualSpacing/>
        <w:jc w:val="both"/>
        <w:rPr/>
      </w:pPr>
      <w:r>
        <w:rPr/>
        <w:t>Le travail et l’emploi</w:t>
      </w:r>
    </w:p>
    <w:p>
      <w:pPr>
        <w:pStyle w:val="Normal"/>
        <w:numPr>
          <w:ilvl w:val="0"/>
          <w:numId w:val="6"/>
        </w:numPr>
        <w:spacing w:lineRule="auto" w:line="276" w:before="0" w:after="0"/>
        <w:contextualSpacing/>
        <w:jc w:val="both"/>
        <w:rPr/>
      </w:pPr>
      <w:r>
        <w:rPr/>
        <w:t xml:space="preserve">L’accompagnement </w:t>
      </w:r>
    </w:p>
    <w:p>
      <w:pPr>
        <w:pStyle w:val="Normal"/>
        <w:numPr>
          <w:ilvl w:val="0"/>
          <w:numId w:val="6"/>
        </w:numPr>
        <w:spacing w:lineRule="auto" w:line="276" w:before="0" w:afterAutospacing="1"/>
        <w:contextualSpacing/>
        <w:jc w:val="both"/>
        <w:rPr/>
      </w:pPr>
      <w:r>
        <w:rPr/>
        <w:t>L’entraide</w:t>
      </w:r>
    </w:p>
    <w:p>
      <w:pPr>
        <w:pStyle w:val="Normal"/>
        <w:spacing w:lineRule="auto" w:line="276" w:beforeAutospacing="1" w:afterAutospacing="1"/>
        <w:ind w:left="426" w:hanging="0"/>
        <w:contextualSpacing/>
        <w:jc w:val="both"/>
        <w:rPr/>
      </w:pPr>
      <w:r>
        <w:rPr/>
      </w:r>
    </w:p>
    <w:p>
      <w:pPr>
        <w:pStyle w:val="Normal"/>
        <w:spacing w:lineRule="auto" w:line="276" w:beforeAutospacing="1" w:afterAutospacing="1"/>
        <w:ind w:left="426" w:hanging="0"/>
        <w:contextualSpacing/>
        <w:jc w:val="both"/>
        <w:rPr/>
      </w:pPr>
      <w:r>
        <w:rPr/>
        <w:t>Le projet associatif souligne :</w:t>
      </w:r>
    </w:p>
    <w:p>
      <w:pPr>
        <w:pStyle w:val="Normal"/>
        <w:spacing w:lineRule="auto" w:line="276" w:beforeAutospacing="1" w:afterAutospacing="1"/>
        <w:ind w:left="426" w:hanging="0"/>
        <w:contextualSpacing/>
        <w:jc w:val="both"/>
        <w:rPr/>
      </w:pPr>
      <w:r>
        <w:rPr/>
      </w:r>
    </w:p>
    <w:p>
      <w:pPr>
        <w:pStyle w:val="Normal"/>
        <w:spacing w:beforeAutospacing="1" w:afterAutospacing="1"/>
        <w:ind w:left="426" w:hanging="0"/>
        <w:jc w:val="both"/>
        <w:rPr/>
      </w:pPr>
      <w:r>
        <w:rPr/>
        <w:t>« Les différentes réalisations s’adressent à plus de 400 personnes sur le département chaque année avec un taux de turn-over global d’environ 15 %.</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Etre sujet à des troubles psychiques nécessite de les connaitre et de les reconnaitre afin de vivre en les acceptant. Contribuer à ce que chaque personne accompagnée puisse vivre avec la maladie, telle est la mission du personnel de l’association.</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 xml:space="preserve">Ainsi, </w:t>
      </w:r>
      <w:r>
        <w:rPr>
          <w:rFonts w:eastAsia="Calibri" w:eastAsiaTheme="minorHAnsi"/>
          <w:b/>
          <w:lang w:eastAsia="en-US"/>
        </w:rPr>
        <w:t>la reconnaissance du potentiel de responsabilité</w:t>
      </w:r>
      <w:r>
        <w:rPr>
          <w:rFonts w:eastAsia="Calibri" w:eastAsiaTheme="minorHAnsi"/>
          <w:lang w:eastAsia="en-US"/>
        </w:rPr>
        <w:t xml:space="preserve"> de l’usager sera la base de la démarche d’accompagnement  quel que soit le niveau des troubles.  L’accompagnement sera adapté pour aider la personne à compenser les altérations de son discernement ou les inhibitions à réaliser ses tâches.</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 xml:space="preserve">L’acquisition de la responsabilité de l’usager est donc un objectif permanent qui fera l’objet de la plus grande </w:t>
      </w:r>
      <w:r>
        <w:rPr>
          <w:rFonts w:eastAsia="Calibri" w:eastAsiaTheme="minorHAnsi"/>
          <w:b/>
          <w:lang w:eastAsia="en-US"/>
        </w:rPr>
        <w:t>attention, de créativité, d’invention et de stratégies adaptées</w:t>
      </w:r>
      <w:r>
        <w:rPr>
          <w:rFonts w:eastAsia="Calibri" w:eastAsiaTheme="minorHAnsi"/>
          <w:lang w:eastAsia="en-US"/>
        </w:rPr>
        <w:t xml:space="preserve">. </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 xml:space="preserve">Exercer sa responsabilité est aussi pouvoir </w:t>
      </w:r>
      <w:r>
        <w:rPr>
          <w:rFonts w:eastAsia="Calibri" w:eastAsiaTheme="minorHAnsi"/>
          <w:b/>
          <w:lang w:eastAsia="en-US"/>
        </w:rPr>
        <w:t>exercer des choix</w:t>
      </w:r>
      <w:r>
        <w:rPr>
          <w:rFonts w:eastAsia="Calibri" w:eastAsiaTheme="minorHAnsi"/>
          <w:lang w:eastAsia="en-US"/>
        </w:rPr>
        <w:t>, ce qui sous-entend un devoir d’information à l’égard de l’usager.</w:t>
      </w:r>
    </w:p>
    <w:p>
      <w:pPr>
        <w:pStyle w:val="Normal"/>
        <w:spacing w:lineRule="auto" w:line="276" w:before="0" w:after="200"/>
        <w:ind w:left="426" w:hanging="0"/>
        <w:jc w:val="both"/>
        <w:rPr>
          <w:rFonts w:eastAsia="Calibri" w:eastAsiaTheme="minorHAnsi"/>
          <w:lang w:eastAsia="en-US"/>
        </w:rPr>
      </w:pPr>
      <w:r>
        <w:rPr>
          <w:rFonts w:eastAsia="Calibri" w:eastAsiaTheme="minorHAnsi"/>
          <w:lang w:eastAsia="en-US"/>
        </w:rPr>
        <w:t>Aucune personne ne peut être confondue avec son handicap et ses difficultés. C’est au contraire à cette partie disponible de la personne, à ses ressources, à son potentiel que s’adresse l’association. C’est pourquoi les termes désignant la personne par son état de malade sont inappropriés »</w:t>
      </w:r>
    </w:p>
    <w:p>
      <w:pPr>
        <w:pStyle w:val="Normal"/>
        <w:spacing w:lineRule="auto" w:line="276" w:before="0" w:after="200"/>
        <w:rPr>
          <w:b/>
          <w:b/>
          <w:bCs/>
        </w:rPr>
      </w:pPr>
      <w:r>
        <w:rPr>
          <w:b/>
          <w:bCs/>
        </w:rPr>
      </w:r>
    </w:p>
    <w:p>
      <w:pPr>
        <w:pStyle w:val="Normal"/>
        <w:spacing w:lineRule="auto" w:line="276" w:before="0" w:after="200"/>
        <w:rPr>
          <w:b/>
          <w:b/>
          <w:bCs/>
        </w:rPr>
      </w:pPr>
      <w:r>
        <w:rPr/>
        <w:drawing>
          <wp:inline distT="0" distB="0" distL="0" distR="0">
            <wp:extent cx="6347460" cy="8271510"/>
            <wp:effectExtent l="0" t="0" r="0" b="0"/>
            <wp:docPr id="1"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
                    <pic:cNvPicPr>
                      <a:picLocks noChangeAspect="1" noChangeArrowheads="1"/>
                    </pic:cNvPicPr>
                  </pic:nvPicPr>
                  <pic:blipFill>
                    <a:blip r:embed="rId2"/>
                    <a:stretch>
                      <a:fillRect/>
                    </a:stretch>
                  </pic:blipFill>
                  <pic:spPr bwMode="auto">
                    <a:xfrm>
                      <a:off x="0" y="0"/>
                      <a:ext cx="6347460" cy="8271510"/>
                    </a:xfrm>
                    <a:prstGeom prst="rect">
                      <a:avLst/>
                    </a:prstGeom>
                  </pic:spPr>
                </pic:pic>
              </a:graphicData>
            </a:graphic>
          </wp:inline>
        </w:drawing>
      </w:r>
      <w:r>
        <w:br w:type="page"/>
      </w:r>
    </w:p>
    <w:p>
      <w:pPr>
        <w:pStyle w:val="ListParagraph"/>
        <w:numPr>
          <w:ilvl w:val="0"/>
          <w:numId w:val="7"/>
        </w:numPr>
        <w:ind w:left="720" w:right="0" w:hanging="360"/>
        <w:jc w:val="both"/>
        <w:rPr>
          <w:b/>
          <w:b/>
          <w:bCs/>
        </w:rPr>
      </w:pPr>
      <w:r>
        <w:rPr>
          <w:b/>
          <w:bCs/>
        </w:rPr>
        <w:t>LA POPULATION DES PERSONNES SOUFFRANT DE TROUBLES PSYCHIQUES.</w:t>
      </w:r>
    </w:p>
    <w:p>
      <w:pPr>
        <w:pStyle w:val="ListParagraph"/>
        <w:ind w:left="426" w:right="0" w:hanging="0"/>
        <w:jc w:val="both"/>
        <w:rPr>
          <w:b/>
          <w:b/>
          <w:bCs/>
        </w:rPr>
      </w:pPr>
      <w:r>
        <w:rPr>
          <w:b/>
          <w:bCs/>
        </w:rPr>
      </w:r>
    </w:p>
    <w:p>
      <w:pPr>
        <w:pStyle w:val="Normal"/>
        <w:ind w:left="0" w:right="0" w:hanging="0"/>
        <w:jc w:val="both"/>
        <w:rPr/>
      </w:pPr>
      <w:r>
        <w:rPr/>
      </w:r>
    </w:p>
    <w:p>
      <w:pPr>
        <w:pStyle w:val="Normal"/>
        <w:ind w:left="426" w:right="0" w:hanging="0"/>
        <w:jc w:val="both"/>
        <w:rPr/>
      </w:pPr>
      <w:r>
        <w:rPr/>
        <w:t>L’évaluation par l’OMS du nombre de personnes concernées par des troubles psychiques significatifs, correspond à 12% de la population.</w:t>
      </w:r>
    </w:p>
    <w:p>
      <w:pPr>
        <w:pStyle w:val="Normal"/>
        <w:ind w:left="426" w:right="0" w:hanging="0"/>
        <w:jc w:val="both"/>
        <w:rPr/>
      </w:pPr>
      <w:r>
        <w:rPr/>
        <w:t>Cette estimation  varie, le plus souvent à la hausse, selon les différentes sources.</w:t>
      </w:r>
    </w:p>
    <w:p>
      <w:pPr>
        <w:pStyle w:val="Normal"/>
        <w:ind w:left="426" w:right="0" w:hanging="0"/>
        <w:jc w:val="both"/>
        <w:rPr/>
      </w:pPr>
      <w:r>
        <w:rPr/>
      </w:r>
    </w:p>
    <w:p>
      <w:pPr>
        <w:pStyle w:val="Normal"/>
        <w:ind w:left="426" w:right="0" w:hanging="0"/>
        <w:jc w:val="both"/>
        <w:rPr/>
      </w:pPr>
      <w:r>
        <w:rPr/>
        <w:t>Parmi elles, les psychoses de l’âge adulte représentent environ 5 % de la population, dont les schizophrénies qui concernent 1 à 2 % de la population, partout dans le monde.</w:t>
      </w:r>
    </w:p>
    <w:p>
      <w:pPr>
        <w:pStyle w:val="Normal"/>
        <w:ind w:left="426" w:right="0" w:hanging="0"/>
        <w:jc w:val="both"/>
        <w:rPr/>
      </w:pPr>
      <w:r>
        <w:rPr/>
      </w:r>
    </w:p>
    <w:p>
      <w:pPr>
        <w:pStyle w:val="Normal"/>
        <w:ind w:left="426" w:right="0" w:hanging="0"/>
        <w:jc w:val="both"/>
        <w:rPr/>
      </w:pPr>
      <w:r>
        <w:rPr/>
        <w:t>Les pathologies psychiques se caractérisent par différents éléments fréquemment rencontrés :</w:t>
      </w:r>
    </w:p>
    <w:p>
      <w:pPr>
        <w:pStyle w:val="Normal"/>
        <w:ind w:left="426" w:right="0" w:hanging="0"/>
        <w:jc w:val="both"/>
        <w:rPr/>
      </w:pPr>
      <w:r>
        <w:rPr/>
      </w:r>
    </w:p>
    <w:p>
      <w:pPr>
        <w:pStyle w:val="ListParagraph"/>
        <w:numPr>
          <w:ilvl w:val="0"/>
          <w:numId w:val="8"/>
        </w:numPr>
        <w:ind w:left="1068" w:right="0" w:hanging="360"/>
        <w:jc w:val="both"/>
        <w:rPr/>
      </w:pPr>
      <w:r>
        <w:rPr/>
        <w:t>une altération de la perception de la réalité,</w:t>
      </w:r>
    </w:p>
    <w:p>
      <w:pPr>
        <w:pStyle w:val="Normal"/>
        <w:numPr>
          <w:ilvl w:val="0"/>
          <w:numId w:val="8"/>
        </w:numPr>
        <w:ind w:left="1068" w:right="0" w:hanging="360"/>
        <w:jc w:val="both"/>
        <w:rPr/>
      </w:pPr>
      <w:r>
        <w:rPr/>
        <w:t>des fluctuations de l’état psychique qui peuvent persister sous traitement chimiothérapique,</w:t>
      </w:r>
    </w:p>
    <w:p>
      <w:pPr>
        <w:pStyle w:val="Normal"/>
        <w:numPr>
          <w:ilvl w:val="0"/>
          <w:numId w:val="8"/>
        </w:numPr>
        <w:ind w:left="1068" w:right="0" w:hanging="360"/>
        <w:jc w:val="both"/>
        <w:rPr/>
      </w:pPr>
      <w:r>
        <w:rPr/>
        <w:t>une tendance au repli, à l’isolement,</w:t>
      </w:r>
    </w:p>
    <w:p>
      <w:pPr>
        <w:pStyle w:val="Normal"/>
        <w:numPr>
          <w:ilvl w:val="0"/>
          <w:numId w:val="8"/>
        </w:numPr>
        <w:ind w:left="1068" w:right="0" w:hanging="360"/>
        <w:jc w:val="both"/>
        <w:rPr/>
      </w:pPr>
      <w:r>
        <w:rPr/>
        <w:t>des troubles de l’idéation qui sont fréquemment responsables d’un apragmatisme parfois sévère,</w:t>
      </w:r>
    </w:p>
    <w:p>
      <w:pPr>
        <w:pStyle w:val="Normal"/>
        <w:numPr>
          <w:ilvl w:val="0"/>
          <w:numId w:val="8"/>
        </w:numPr>
        <w:ind w:left="1068" w:right="0" w:hanging="360"/>
        <w:jc w:val="both"/>
        <w:rPr/>
      </w:pPr>
      <w:r>
        <w:rPr/>
        <w:t>des troubles de la cognition,</w:t>
      </w:r>
    </w:p>
    <w:p>
      <w:pPr>
        <w:pStyle w:val="Normal"/>
        <w:numPr>
          <w:ilvl w:val="0"/>
          <w:numId w:val="8"/>
        </w:numPr>
        <w:ind w:left="1068" w:right="0" w:hanging="360"/>
        <w:jc w:val="both"/>
        <w:rPr/>
      </w:pPr>
      <w:r>
        <w:rPr/>
        <w:t>une compliance parfois précaire voire une opposition aux soins,</w:t>
      </w:r>
    </w:p>
    <w:p>
      <w:pPr>
        <w:pStyle w:val="Normal"/>
        <w:numPr>
          <w:ilvl w:val="0"/>
          <w:numId w:val="8"/>
        </w:numPr>
        <w:ind w:left="1068" w:right="0" w:hanging="360"/>
        <w:jc w:val="both"/>
        <w:rPr/>
      </w:pPr>
      <w:r>
        <w:rPr/>
        <w:t>des rechutes rarement prévisibles,</w:t>
      </w:r>
    </w:p>
    <w:p>
      <w:pPr>
        <w:pStyle w:val="Normal"/>
        <w:numPr>
          <w:ilvl w:val="0"/>
          <w:numId w:val="8"/>
        </w:numPr>
        <w:ind w:left="1068" w:right="0" w:hanging="360"/>
        <w:jc w:val="both"/>
        <w:rPr/>
      </w:pPr>
      <w:r>
        <w:rPr/>
        <w:t>une altération des potentialités communicationnelles et relationnelles.</w:t>
      </w:r>
    </w:p>
    <w:p>
      <w:pPr>
        <w:pStyle w:val="Normal"/>
        <w:ind w:left="426" w:right="0" w:hanging="0"/>
        <w:jc w:val="both"/>
        <w:rPr/>
      </w:pPr>
      <w:r>
        <w:rPr/>
      </w:r>
    </w:p>
    <w:p>
      <w:pPr>
        <w:pStyle w:val="Normal"/>
        <w:ind w:left="426" w:right="0" w:hanging="0"/>
        <w:jc w:val="both"/>
        <w:rPr/>
      </w:pPr>
      <w:r>
        <w:rPr/>
        <w:t>Quant à l’évolution du sort des personnes touchées par la maladie psychique, on peut distinguer trois groupes :</w:t>
      </w:r>
    </w:p>
    <w:p>
      <w:pPr>
        <w:pStyle w:val="Normal"/>
        <w:numPr>
          <w:ilvl w:val="0"/>
          <w:numId w:val="9"/>
        </w:numPr>
        <w:ind w:left="1068" w:right="0" w:hanging="360"/>
        <w:jc w:val="both"/>
        <w:rPr/>
      </w:pPr>
      <w:r>
        <w:rPr/>
        <w:t>un tiers des personnes pourra, grâce à des soins, à un suivi thérapeutique et à un parcours d’adaptation appropriés, mener une vie ordinaire,</w:t>
      </w:r>
    </w:p>
    <w:p>
      <w:pPr>
        <w:pStyle w:val="Normal"/>
        <w:numPr>
          <w:ilvl w:val="0"/>
          <w:numId w:val="9"/>
        </w:numPr>
        <w:ind w:left="1068" w:right="0" w:hanging="360"/>
        <w:jc w:val="both"/>
        <w:rPr/>
      </w:pPr>
      <w:r>
        <w:rPr/>
        <w:t>un tiers de personnes présentera des fluctuations plus ou moins aiguës, créant des ruptures sociales et professionnelles qui nécessiteront des séquences de reprise de soins intensifs et plus ou moins prolongés ainsi que des périodes de réadaptations, avant d’envisager la retour dans un circuit d’insertion en milieu protégé ou non,</w:t>
      </w:r>
    </w:p>
    <w:p>
      <w:pPr>
        <w:pStyle w:val="Normal"/>
        <w:numPr>
          <w:ilvl w:val="0"/>
          <w:numId w:val="9"/>
        </w:numPr>
        <w:ind w:left="1068" w:right="0" w:hanging="360"/>
        <w:jc w:val="both"/>
        <w:rPr/>
      </w:pPr>
      <w:r>
        <w:rPr/>
        <w:t>un dernier tiers restera invalidé durablement soit par des fluctuations chroniques qui empêcheront une autonomie préalable à toute insertion, soit par des déficiences causées par la pathologie psychique.</w:t>
      </w:r>
    </w:p>
    <w:p>
      <w:pPr>
        <w:pStyle w:val="Normal"/>
        <w:ind w:left="426" w:right="0" w:hanging="0"/>
        <w:jc w:val="both"/>
        <w:rPr/>
      </w:pPr>
      <w:r>
        <w:rPr/>
      </w:r>
    </w:p>
    <w:p>
      <w:pPr>
        <w:pStyle w:val="Normal"/>
        <w:ind w:left="426" w:right="0" w:hanging="0"/>
        <w:jc w:val="both"/>
        <w:rPr/>
      </w:pPr>
      <w:r>
        <w:rPr/>
        <w:t>Toutefois, il est particulièrement difficile de déterminer et encore plus de prévoir des profils stables ou homogènes des personnes souffrant de troubles psychiques.</w:t>
      </w:r>
    </w:p>
    <w:p>
      <w:pPr>
        <w:pStyle w:val="Normal"/>
        <w:ind w:left="426" w:right="0" w:hanging="0"/>
        <w:jc w:val="both"/>
        <w:rPr/>
      </w:pPr>
      <w:r>
        <w:rPr/>
      </w:r>
    </w:p>
    <w:p>
      <w:pPr>
        <w:pStyle w:val="Normal"/>
        <w:numPr>
          <w:ilvl w:val="0"/>
          <w:numId w:val="10"/>
        </w:numPr>
        <w:tabs>
          <w:tab w:val="clear" w:pos="708"/>
          <w:tab w:val="left" w:pos="0" w:leader="none"/>
        </w:tabs>
        <w:ind w:left="1080" w:right="0" w:hanging="360"/>
        <w:jc w:val="both"/>
        <w:rPr/>
      </w:pPr>
      <w:r>
        <w:rPr/>
        <w:t>d’une part, parce que l’un des traits propres aux maladies mentales réside dans l’imprévisibilité et le caractère apparemment irrationnel des déstabilisations</w:t>
      </w:r>
    </w:p>
    <w:p>
      <w:pPr>
        <w:pStyle w:val="Normal"/>
        <w:numPr>
          <w:ilvl w:val="0"/>
          <w:numId w:val="10"/>
        </w:numPr>
        <w:tabs>
          <w:tab w:val="clear" w:pos="708"/>
          <w:tab w:val="left" w:pos="0" w:leader="none"/>
        </w:tabs>
        <w:ind w:left="1080" w:right="0" w:hanging="360"/>
        <w:jc w:val="both"/>
        <w:rPr/>
      </w:pPr>
      <w:r>
        <w:rPr/>
        <w:t>d’autre part, parce qu’il y a peu de corrélation entre l’expression initiale des troubles aussi spectaculaire soit-elle et le devenir de la personne</w:t>
      </w:r>
    </w:p>
    <w:p>
      <w:pPr>
        <w:pStyle w:val="Normal"/>
        <w:numPr>
          <w:ilvl w:val="0"/>
          <w:numId w:val="10"/>
        </w:numPr>
        <w:tabs>
          <w:tab w:val="clear" w:pos="708"/>
          <w:tab w:val="left" w:pos="0" w:leader="none"/>
        </w:tabs>
        <w:ind w:left="1080" w:right="0" w:hanging="360"/>
        <w:jc w:val="both"/>
        <w:rPr/>
      </w:pPr>
      <w:r>
        <w:rPr/>
        <w:t>parce que le parcours des personnes malades psychiques tout au long de leur vie est rarement linéaire</w:t>
      </w:r>
    </w:p>
    <w:p>
      <w:pPr>
        <w:pStyle w:val="Normal"/>
        <w:numPr>
          <w:ilvl w:val="0"/>
          <w:numId w:val="10"/>
        </w:numPr>
        <w:tabs>
          <w:tab w:val="clear" w:pos="708"/>
          <w:tab w:val="left" w:pos="0" w:leader="none"/>
        </w:tabs>
        <w:ind w:left="1080" w:right="0" w:hanging="360"/>
        <w:jc w:val="both"/>
        <w:rPr/>
      </w:pPr>
      <w:r>
        <w:rPr/>
        <w:t>et encore, parce que l’évolution de l’état est aussi déterminée par un ensemble multifactoriel où rentrent en jeu l’éducation, l’histoire de vie de la personne, les relations avec la famille et l’environnement, la précocité du traitement, l’intégration dans un processus social…</w:t>
      </w:r>
    </w:p>
    <w:p>
      <w:pPr>
        <w:pStyle w:val="Normal"/>
        <w:ind w:left="426" w:right="0" w:hanging="0"/>
        <w:jc w:val="both"/>
        <w:rPr/>
      </w:pPr>
      <w:r>
        <w:rPr/>
        <w:t>Il résulte des remarques exposées ci-dessus que la prise en charge des personnes sujettes à des troubles psychiques doit nécessairement répondre à la diversité des situations rencontrées et s’adapter à l’évolution individuelle de chacun.</w:t>
      </w:r>
    </w:p>
    <w:p>
      <w:pPr>
        <w:pStyle w:val="Normal"/>
        <w:ind w:left="426" w:right="0" w:hanging="0"/>
        <w:jc w:val="both"/>
        <w:rPr/>
      </w:pPr>
      <w:r>
        <w:rPr/>
      </w:r>
    </w:p>
    <w:p>
      <w:pPr>
        <w:pStyle w:val="Normal"/>
        <w:ind w:left="426" w:right="0" w:hanging="0"/>
        <w:jc w:val="both"/>
        <w:rPr/>
      </w:pPr>
      <w:r>
        <w:rPr/>
        <w:t>A chaque personne, à chaque personnalité, à chaque profil mais aussi à chaque période de la vie correspondra un projet unique d’accompagnement.</w:t>
      </w:r>
    </w:p>
    <w:p>
      <w:pPr>
        <w:pStyle w:val="Normal"/>
        <w:ind w:left="0" w:right="0" w:hanging="0"/>
        <w:jc w:val="both"/>
        <w:rPr/>
      </w:pPr>
      <w:r>
        <w:rPr/>
      </w:r>
    </w:p>
    <w:p>
      <w:pPr>
        <w:pStyle w:val="Normal"/>
        <w:ind w:left="426" w:right="0" w:hanging="0"/>
        <w:jc w:val="both"/>
        <w:rPr/>
      </w:pPr>
      <w:r>
        <w:rPr/>
        <w:t xml:space="preserve">En fait, si l’évaluation des personnes permet de déterminer globalement leurs besoins en terme de prises en charge, et notamment leur inscription dans l’un de ces groupes, il faut aussi rester conscient de la fréquente instabilité de l’état et de la situation des personnes et intégrer cet aspect dans le travail et les techniques d’accompagnement. </w:t>
      </w:r>
    </w:p>
    <w:p>
      <w:pPr>
        <w:pStyle w:val="Normal"/>
        <w:ind w:left="426" w:right="0" w:hanging="0"/>
        <w:jc w:val="both"/>
        <w:rPr/>
      </w:pPr>
      <w:r>
        <w:rPr/>
      </w:r>
    </w:p>
    <w:p>
      <w:pPr>
        <w:pStyle w:val="Normal"/>
        <w:ind w:left="426" w:right="0" w:hanging="0"/>
        <w:jc w:val="both"/>
        <w:rPr/>
      </w:pPr>
      <w:r>
        <w:rPr/>
        <w:t>Cette perspective de travail ne peut se concevoir qu’en impliquant la personne dans l’exercice de ses responsabilités pour autant  qu’elle peut les mettre en œuvre y compris avec les soutiens sur lesquels elle peut s’appuyer.</w:t>
      </w:r>
    </w:p>
    <w:p>
      <w:pPr>
        <w:pStyle w:val="Normal"/>
        <w:ind w:left="426" w:right="0" w:hanging="0"/>
        <w:jc w:val="both"/>
        <w:rPr/>
      </w:pPr>
      <w:r>
        <w:rPr/>
      </w:r>
    </w:p>
    <w:p>
      <w:pPr>
        <w:pStyle w:val="Normal"/>
        <w:ind w:left="426" w:right="0" w:hanging="0"/>
        <w:jc w:val="both"/>
        <w:rPr/>
      </w:pPr>
      <w:r>
        <w:rPr/>
        <w:t>Considérer avec authenticité la personne comme le sujet à part entière de son parcours et comme le partenaire incontournable des adaptations et compensations qui peuvent lui être utiles fonde l’éthique et le cadre opérant d’un travail d’individuation indispensable à l’accompagnement psychosocial des personnes psychotiques.</w:t>
      </w:r>
    </w:p>
    <w:p>
      <w:pPr>
        <w:pStyle w:val="Normal"/>
        <w:ind w:left="426" w:right="0" w:hanging="0"/>
        <w:jc w:val="both"/>
        <w:rPr/>
      </w:pPr>
      <w:r>
        <w:rPr/>
      </w:r>
    </w:p>
    <w:p>
      <w:pPr>
        <w:pStyle w:val="Normal"/>
        <w:ind w:left="426" w:right="0" w:hanging="0"/>
        <w:jc w:val="both"/>
        <w:rPr/>
      </w:pPr>
      <w:r>
        <w:rPr/>
        <w:t>C’est donc toujours avec la personne que s’évalueront, en fonction de ses aspirations mais aussi de la prise de conscience de ses capacités, les choix, orientations et solutions qui apparaîtront les mieux adaptés à la poursuite du projet de vie.</w:t>
      </w:r>
    </w:p>
    <w:p>
      <w:pPr>
        <w:pStyle w:val="Normal"/>
        <w:ind w:left="426" w:right="0" w:hanging="0"/>
        <w:jc w:val="both"/>
        <w:rPr/>
      </w:pPr>
      <w:r>
        <w:rPr/>
      </w:r>
    </w:p>
    <w:p>
      <w:pPr>
        <w:pStyle w:val="Normal"/>
        <w:ind w:left="426" w:right="0" w:hanging="0"/>
        <w:jc w:val="both"/>
        <w:rPr/>
      </w:pPr>
      <w:r>
        <w:rPr/>
        <w:t>La qualité de cette évaluation détermine la bonne indication des solutions et donc leur  pérennité ainsi que la qualité du vécu des personnes.</w:t>
      </w:r>
    </w:p>
    <w:p>
      <w:pPr>
        <w:pStyle w:val="Normal"/>
        <w:ind w:left="0" w:right="0" w:hanging="0"/>
        <w:jc w:val="both"/>
        <w:rPr/>
      </w:pPr>
      <w:r>
        <w:rPr/>
      </w:r>
    </w:p>
    <w:p>
      <w:pPr>
        <w:pStyle w:val="Normal"/>
        <w:ind w:left="0" w:right="0" w:hanging="0"/>
        <w:jc w:val="both"/>
        <w:rPr/>
      </w:pPr>
      <w:r>
        <w:rPr/>
      </w:r>
    </w:p>
    <w:p>
      <w:pPr>
        <w:pStyle w:val="Normal"/>
        <w:ind w:left="0" w:right="0" w:hanging="0"/>
        <w:jc w:val="both"/>
        <w:rPr/>
      </w:pPr>
      <w:r>
        <w:rPr/>
      </w:r>
    </w:p>
    <w:p>
      <w:pPr>
        <w:pStyle w:val="ListParagraph"/>
        <w:numPr>
          <w:ilvl w:val="0"/>
          <w:numId w:val="7"/>
        </w:numPr>
        <w:ind w:left="720" w:right="0" w:hanging="360"/>
        <w:jc w:val="both"/>
        <w:rPr>
          <w:b/>
          <w:b/>
        </w:rPr>
      </w:pPr>
      <w:r>
        <w:rPr>
          <w:b/>
        </w:rPr>
        <w:t>LE BESOIN EN LOGEMENT DES PERSONNES MALADES PSYCHIQUES</w:t>
      </w:r>
    </w:p>
    <w:p>
      <w:pPr>
        <w:pStyle w:val="Normal"/>
        <w:ind w:left="0" w:right="0" w:hanging="0"/>
        <w:jc w:val="both"/>
        <w:rPr/>
      </w:pPr>
      <w:r>
        <w:rPr/>
      </w:r>
    </w:p>
    <w:p>
      <w:pPr>
        <w:pStyle w:val="Normal"/>
        <w:ind w:left="426" w:right="0" w:hanging="0"/>
        <w:jc w:val="both"/>
        <w:rPr/>
      </w:pPr>
      <w:r>
        <w:rPr/>
      </w:r>
    </w:p>
    <w:p>
      <w:pPr>
        <w:pStyle w:val="Normal"/>
        <w:ind w:left="426" w:right="0" w:hanging="0"/>
        <w:jc w:val="both"/>
        <w:rPr/>
      </w:pPr>
      <w:r>
        <w:rPr/>
        <w:t xml:space="preserve">S’il est difficile d’identifier le besoin en nombre exact de logements pour les personnes en difficultés psychiques, il est néanmoins possible d’affirmer que le besoin est au moins aussi important, voire plus que pour le reste de la population, dans les Hauts de Seine comme dans les autres départements. </w:t>
      </w:r>
    </w:p>
    <w:p>
      <w:pPr>
        <w:pStyle w:val="Normal"/>
        <w:ind w:left="426" w:right="0" w:hanging="0"/>
        <w:jc w:val="both"/>
        <w:rPr/>
      </w:pPr>
      <w:r>
        <w:rPr/>
      </w:r>
    </w:p>
    <w:p>
      <w:pPr>
        <w:pStyle w:val="Normal"/>
        <w:ind w:left="426" w:right="0" w:hanging="0"/>
        <w:jc w:val="both"/>
        <w:rPr/>
      </w:pPr>
      <w:r>
        <w:rPr/>
        <w:t>L’offre de logements adaptés (appartements associatifs, foyer, logements de transition…) reste très insuffisante avec des délais d’attribution trop longs au regard des besoins qui nous remontent par le biais du canal associatif et sanitaire.</w:t>
      </w:r>
    </w:p>
    <w:p>
      <w:pPr>
        <w:pStyle w:val="Normal"/>
        <w:ind w:left="426" w:right="0" w:hanging="0"/>
        <w:jc w:val="both"/>
        <w:rPr/>
      </w:pPr>
      <w:r>
        <w:rPr/>
        <w:t>Par ailleurs de nombreuses personnes ont vécu dans un logement, mais n’ont pu le garder lors d’une phase de décompensation ou d’hospitalisation.</w:t>
      </w:r>
    </w:p>
    <w:p>
      <w:pPr>
        <w:pStyle w:val="Normal"/>
        <w:ind w:left="426" w:right="0" w:hanging="0"/>
        <w:jc w:val="both"/>
        <w:rPr/>
      </w:pPr>
      <w:r>
        <w:rPr/>
        <w:t>Mais le besoin en logement, pour les personnes à fragilité psychique, n’est pas un besoin nu. Il doit être répondu à ce besoin par une offre diversifiée.</w:t>
      </w:r>
      <w:r>
        <w:br w:type="page"/>
      </w:r>
    </w:p>
    <w:p>
      <w:pPr>
        <w:pStyle w:val="Normal"/>
        <w:spacing w:lineRule="auto" w:line="276" w:before="0" w:after="200"/>
        <w:ind w:left="426" w:hanging="0"/>
        <w:rPr/>
      </w:pPr>
      <w:r>
        <w:rPr/>
        <w:t>A ce titre 3 critères peuvent être retenus pour améliorer les résultats d’insertion par l’habitat :</w:t>
      </w:r>
    </w:p>
    <w:p>
      <w:pPr>
        <w:pStyle w:val="Normal"/>
        <w:ind w:right="0" w:hanging="0"/>
        <w:jc w:val="both"/>
        <w:rPr/>
      </w:pPr>
      <w:r>
        <w:rPr/>
      </w:r>
    </w:p>
    <w:p>
      <w:pPr>
        <w:pStyle w:val="Normal"/>
        <w:numPr>
          <w:ilvl w:val="0"/>
          <w:numId w:val="4"/>
        </w:numPr>
        <w:ind w:left="720" w:right="0" w:hanging="360"/>
        <w:jc w:val="both"/>
        <w:rPr/>
      </w:pPr>
      <w:r>
        <w:rPr/>
        <w:t>les propositions de logements doivent être multiples et nuancées : individuelles, à plusieurs, en appartement associatif, en foyer, en pension de famille, chez l’habitant, en résidence sociale…  plus la palette de possibilité est grande et plus l’élaboration autour d’un choix détermine les conditions d’adaptation du logement retenu. D’autant plus que dans le trajet ordinaire d’une personne malade psychique, plusieurs types d’habitat répondront à ses besoins ;</w:t>
      </w:r>
    </w:p>
    <w:p>
      <w:pPr>
        <w:pStyle w:val="Normal"/>
        <w:spacing w:lineRule="auto" w:line="276" w:before="0" w:after="200"/>
        <w:rPr/>
      </w:pPr>
      <w:r>
        <w:rPr/>
      </w:r>
    </w:p>
    <w:p>
      <w:pPr>
        <w:pStyle w:val="Normal"/>
        <w:numPr>
          <w:ilvl w:val="0"/>
          <w:numId w:val="4"/>
        </w:numPr>
        <w:ind w:left="720" w:right="0" w:hanging="360"/>
        <w:jc w:val="both"/>
        <w:rPr/>
      </w:pPr>
      <w:r>
        <w:rPr/>
        <w:t>l’accompagnement des personnes doit aussi s’ajuster à leurs besoins. Tout au long de la vie d’une personne souffrant de troubles psychiatriques les besoins en accompagnement vont varier de façon polyfactorielle : selon les fluctuations psychiques, selon certains événements de la vie, selon le suivi médical, selon l’âge… La bonne distance dans la relation d’aide, c’est à dire l’accompagnement adapté à la personne déterminera son effort pour se maintenir dans un bon niveau d’insertion, d’autonomie et donc de responsabilité. En retour il faut pouvoir offrir une qualité de service qui repose sur la réactivité aux situations rencontrées, sur l’adaptation et la souplesse des interventions</w:t>
      </w:r>
    </w:p>
    <w:p>
      <w:pPr>
        <w:pStyle w:val="Normal"/>
        <w:ind w:right="0" w:hanging="0"/>
        <w:jc w:val="both"/>
        <w:rPr/>
      </w:pPr>
      <w:r>
        <w:rPr/>
      </w:r>
    </w:p>
    <w:p>
      <w:pPr>
        <w:pStyle w:val="Normal"/>
        <w:numPr>
          <w:ilvl w:val="0"/>
          <w:numId w:val="4"/>
        </w:numPr>
        <w:ind w:left="720" w:right="0" w:hanging="360"/>
        <w:jc w:val="both"/>
        <w:rPr/>
      </w:pPr>
      <w:r>
        <w:rPr/>
        <w:t>certains cheminements au cours duquel la personne peut faire une expérience progressive de l’apprentissage de son indépendance.</w:t>
      </w:r>
    </w:p>
    <w:p>
      <w:pPr>
        <w:pStyle w:val="Normal"/>
        <w:ind w:right="0" w:hanging="0"/>
        <w:jc w:val="both"/>
        <w:rPr/>
      </w:pPr>
      <w:r>
        <w:rPr/>
      </w:r>
    </w:p>
    <w:p>
      <w:pPr>
        <w:pStyle w:val="Normal"/>
        <w:ind w:left="360" w:right="0" w:hanging="0"/>
        <w:jc w:val="both"/>
        <w:rPr/>
      </w:pPr>
      <w:r>
        <w:rPr/>
        <w:t>Ces considérations définissent les orientations de notre projet de résidence-accueil et son public.</w:t>
      </w:r>
    </w:p>
    <w:p>
      <w:pPr>
        <w:pStyle w:val="Normal"/>
        <w:ind w:left="654" w:right="0" w:hanging="0"/>
        <w:jc w:val="both"/>
        <w:rPr/>
      </w:pPr>
      <w:r>
        <w:rPr/>
      </w:r>
    </w:p>
    <w:p>
      <w:pPr>
        <w:pStyle w:val="Normal"/>
        <w:ind w:left="426" w:right="0" w:hanging="0"/>
        <w:jc w:val="both"/>
        <w:rPr/>
      </w:pPr>
      <w:r>
        <w:rPr/>
        <w:t xml:space="preserve">Le chiffre de 300 places de résidence-accueil (moins de 10 places par commune du département) est avancé par les services sociaux des secteurs psychiatriques. Il est vraisemblablement inférieur à la totalité des besoins pour ce type de logement. Or, nous ne décomptons que 36 places sur le département des hauts de seine (14 places pour la résidence-accueil gérée par </w:t>
      </w:r>
      <w:r>
        <w:rPr>
          <w:b/>
          <w:i/>
        </w:rPr>
        <w:t>espérance hauts de seine</w:t>
      </w:r>
      <w:r>
        <w:rPr/>
        <w:t xml:space="preserve"> à Malakoff et 22 places pour celles de la Garenne-Colombes, gérée par les Amis de l’Atelier).</w:t>
      </w:r>
    </w:p>
    <w:p>
      <w:pPr>
        <w:pStyle w:val="Normal"/>
        <w:ind w:left="0" w:right="0" w:hanging="0"/>
        <w:rPr>
          <w:b/>
          <w:b/>
          <w:bCs/>
        </w:rPr>
      </w:pPr>
      <w:r>
        <w:rPr>
          <w:b/>
          <w:bCs/>
        </w:rPr>
      </w:r>
    </w:p>
    <w:p>
      <w:pPr>
        <w:pStyle w:val="Normal"/>
        <w:spacing w:lineRule="auto" w:line="276" w:before="0" w:after="200"/>
        <w:rPr/>
      </w:pPr>
      <w:r>
        <w:rPr/>
      </w:r>
      <w:r>
        <w:br w:type="page"/>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ListParagraph"/>
        <w:numPr>
          <w:ilvl w:val="0"/>
          <w:numId w:val="12"/>
        </w:numPr>
        <w:spacing w:lineRule="auto" w:line="276" w:before="0" w:after="200"/>
        <w:contextualSpacing/>
        <w:jc w:val="center"/>
        <w:rPr>
          <w:b/>
          <w:b/>
          <w:bCs/>
          <w:sz w:val="36"/>
          <w:szCs w:val="36"/>
        </w:rPr>
      </w:pPr>
      <w:r>
        <w:rPr>
          <w:b/>
          <w:bCs/>
          <w:sz w:val="36"/>
          <w:szCs w:val="36"/>
        </w:rPr>
        <w:t>L’OPERATION DE RESIDENCE-ACCUEIL A SURESNES</w:t>
      </w:r>
    </w:p>
    <w:p>
      <w:pPr>
        <w:pStyle w:val="Normal"/>
        <w:spacing w:lineRule="auto" w:line="276" w:before="0" w:after="200"/>
        <w:rPr/>
      </w:pPr>
      <w:r>
        <w:rPr/>
      </w:r>
      <w:r>
        <w:br w:type="page"/>
      </w:r>
    </w:p>
    <w:p>
      <w:pPr>
        <w:pStyle w:val="Normal"/>
        <w:ind w:left="360" w:right="0" w:hanging="0"/>
        <w:rPr>
          <w:b/>
          <w:b/>
        </w:rPr>
      </w:pPr>
      <w:r>
        <w:rPr>
          <w:b/>
          <w:bCs/>
        </w:rPr>
        <w:t>1. OPERATION PREVUE</w:t>
      </w:r>
    </w:p>
    <w:p>
      <w:pPr>
        <w:pStyle w:val="Normal"/>
        <w:ind w:left="0" w:right="0" w:hanging="0"/>
        <w:rPr/>
      </w:pPr>
      <w:r>
        <w:rPr/>
      </w:r>
    </w:p>
    <w:p>
      <w:pPr>
        <w:pStyle w:val="Normal"/>
        <w:ind w:left="0" w:right="0" w:hanging="0"/>
        <w:rPr/>
      </w:pPr>
      <w:r>
        <w:rPr/>
      </w:r>
    </w:p>
    <w:p>
      <w:pPr>
        <w:pStyle w:val="Normal"/>
        <w:ind w:left="426" w:right="0" w:hanging="0"/>
        <w:rPr>
          <w:b/>
          <w:b/>
        </w:rPr>
      </w:pPr>
      <w:r>
        <w:rPr>
          <w:b/>
        </w:rPr>
        <w:t>A - Nature de la demande :</w:t>
      </w:r>
    </w:p>
    <w:p>
      <w:pPr>
        <w:pStyle w:val="Normal"/>
        <w:ind w:left="426" w:right="0" w:firstLine="60"/>
        <w:rPr/>
      </w:pPr>
      <w:r>
        <w:rPr/>
      </w:r>
    </w:p>
    <w:p>
      <w:pPr>
        <w:pStyle w:val="Retraitdecorpsdetexte"/>
        <w:ind w:left="708" w:right="0" w:hanging="0"/>
        <w:rPr/>
      </w:pPr>
      <w:r>
        <w:rPr/>
        <w:t>L’association espérance hauts de seine sollicite la Direction Régionale et Interdépartementale de l’Hébergement et du Logement (DRIHL) pour la création d’une résidence-accueil pour personnes présentant un handicap psychique à Suresnes.</w:t>
      </w:r>
    </w:p>
    <w:p>
      <w:pPr>
        <w:pStyle w:val="Normal"/>
        <w:ind w:left="426" w:right="0" w:hanging="0"/>
        <w:rPr/>
      </w:pPr>
      <w:r>
        <w:rPr/>
      </w:r>
    </w:p>
    <w:p>
      <w:pPr>
        <w:pStyle w:val="Normal"/>
        <w:spacing w:lineRule="auto" w:line="276" w:before="0" w:after="200"/>
        <w:rPr/>
      </w:pPr>
      <w:r>
        <w:rPr/>
      </w:r>
    </w:p>
    <w:p>
      <w:pPr>
        <w:pStyle w:val="Normal"/>
        <w:ind w:left="426" w:right="0" w:hanging="0"/>
        <w:rPr>
          <w:b/>
          <w:b/>
        </w:rPr>
      </w:pPr>
      <w:r>
        <w:rPr>
          <w:b/>
        </w:rPr>
        <w:t>B - Références réglementaires :</w:t>
      </w:r>
    </w:p>
    <w:p>
      <w:pPr>
        <w:pStyle w:val="Normal"/>
        <w:ind w:left="426" w:right="0" w:hanging="0"/>
        <w:rPr/>
      </w:pPr>
      <w:r>
        <w:rPr/>
      </w:r>
    </w:p>
    <w:p>
      <w:pPr>
        <w:pStyle w:val="Normal"/>
        <w:ind w:left="708" w:right="0" w:hanging="0"/>
        <w:jc w:val="both"/>
        <w:rPr/>
      </w:pPr>
      <w:r>
        <w:rPr/>
        <w:t>Circulaire n° 2002/595 du 10 décembre 2002 relative aux maisons relais.</w:t>
      </w:r>
    </w:p>
    <w:p>
      <w:pPr>
        <w:pStyle w:val="Normal"/>
        <w:ind w:left="850" w:right="0" w:hanging="0"/>
        <w:jc w:val="both"/>
        <w:rPr/>
      </w:pPr>
      <w:r>
        <w:rPr/>
      </w:r>
    </w:p>
    <w:p>
      <w:pPr>
        <w:pStyle w:val="Normal"/>
        <w:ind w:left="708" w:right="0" w:hanging="0"/>
        <w:jc w:val="both"/>
        <w:rPr/>
      </w:pPr>
      <w:r>
        <w:rPr/>
        <w:t>Note d’information DGAS/DGUC 2005/189 du 13 avril 2005 relative à la mise en œuvre du programme maison relais.</w:t>
      </w:r>
    </w:p>
    <w:p>
      <w:pPr>
        <w:pStyle w:val="Normal"/>
        <w:ind w:left="1134" w:right="0" w:hanging="0"/>
        <w:jc w:val="both"/>
        <w:rPr/>
      </w:pPr>
      <w:r>
        <w:rPr/>
      </w:r>
    </w:p>
    <w:p>
      <w:pPr>
        <w:pStyle w:val="Normal"/>
        <w:ind w:left="708" w:right="0" w:hanging="0"/>
        <w:jc w:val="both"/>
        <w:rPr/>
      </w:pPr>
      <w:r>
        <w:rPr/>
        <w:t>Circulaire n° 2006-13 UHC/IUH2 du 1</w:t>
      </w:r>
      <w:r>
        <w:rPr>
          <w:vertAlign w:val="superscript"/>
        </w:rPr>
        <w:t>er</w:t>
      </w:r>
      <w:r>
        <w:rPr/>
        <w:t xml:space="preserve"> mars 2006 relative à la mise en œuvre de la politique du logement et à la programmation des financements aidés de l’Etat pour 2006.</w:t>
      </w:r>
    </w:p>
    <w:p>
      <w:pPr>
        <w:pStyle w:val="Normal"/>
        <w:ind w:left="708" w:right="0" w:hanging="0"/>
        <w:jc w:val="both"/>
        <w:rPr/>
      </w:pPr>
      <w:r>
        <w:rPr/>
        <w:t>Plan de santé mentale 2005-2008, mesure n°1.3.3.</w:t>
      </w:r>
    </w:p>
    <w:p>
      <w:pPr>
        <w:pStyle w:val="Normal"/>
        <w:ind w:left="1134" w:right="0" w:hanging="0"/>
        <w:jc w:val="both"/>
        <w:rPr/>
      </w:pPr>
      <w:r>
        <w:rPr/>
      </w:r>
    </w:p>
    <w:p>
      <w:pPr>
        <w:pStyle w:val="Normal"/>
        <w:ind w:left="708" w:right="0" w:hanging="0"/>
        <w:jc w:val="both"/>
        <w:rPr>
          <w:rStyle w:val="Titre1Car"/>
        </w:rPr>
      </w:pPr>
      <w:r>
        <w:rPr/>
        <w:t>Comité interministériel de Lutte contre les Eclusions (CILE) du 12 mai 2006, mesure N°7.</w:t>
      </w:r>
      <w:r>
        <w:rPr>
          <w:rStyle w:val="Titre1Car"/>
        </w:rPr>
        <w:t xml:space="preserve"> </w:t>
      </w:r>
    </w:p>
    <w:p>
      <w:pPr>
        <w:pStyle w:val="Normal"/>
        <w:ind w:left="1134" w:right="0" w:hanging="0"/>
        <w:jc w:val="both"/>
        <w:rPr>
          <w:rStyle w:val="Titre1Car"/>
        </w:rPr>
      </w:pPr>
      <w:r>
        <w:rPr/>
      </w:r>
    </w:p>
    <w:p>
      <w:pPr>
        <w:pStyle w:val="Normal"/>
        <w:ind w:left="708" w:right="0" w:hanging="0"/>
        <w:jc w:val="both"/>
        <w:rPr/>
      </w:pPr>
      <w:r>
        <w:rPr>
          <w:bCs/>
        </w:rPr>
        <w:t>Note d’information DGAS/PIA/PHAN no 2006-523 du 16 novembre 2006 relative à la mise en place d’un programme expérimental de résidences accueil pour les personnes en situation de précarité ou d’exclusion, ayant un handicap psychique.</w:t>
      </w:r>
    </w:p>
    <w:p>
      <w:pPr>
        <w:pStyle w:val="Normal"/>
        <w:ind w:left="1134" w:right="0" w:hanging="0"/>
        <w:jc w:val="both"/>
        <w:rPr/>
      </w:pPr>
      <w:r>
        <w:rPr/>
      </w:r>
    </w:p>
    <w:p>
      <w:pPr>
        <w:pStyle w:val="Normal"/>
        <w:ind w:left="708" w:right="0" w:hanging="0"/>
        <w:jc w:val="both"/>
        <w:rPr/>
      </w:pPr>
      <w:r>
        <w:rPr/>
        <w:t>Convention type APL « résidences sociales » conclue entre l’Etat, l’organisme propriétaire et l’organisme gestionnaire.</w:t>
      </w:r>
    </w:p>
    <w:p>
      <w:pPr>
        <w:pStyle w:val="Normal"/>
        <w:ind w:left="1134" w:right="0" w:hanging="0"/>
        <w:jc w:val="both"/>
        <w:rPr/>
      </w:pPr>
      <w:r>
        <w:rPr/>
      </w:r>
    </w:p>
    <w:p>
      <w:pPr>
        <w:pStyle w:val="Normal"/>
        <w:ind w:left="708" w:right="0" w:hanging="0"/>
        <w:jc w:val="both"/>
        <w:rPr/>
      </w:pPr>
      <w:r>
        <w:rPr/>
        <w:t>Déclaration de Madame Sophie CLUZEL, Secrétaire d’Etat chargée des personnes handicapées, du 30 novembre 2017 lors de la présentation du guide de l’habitat inclusif.</w:t>
      </w:r>
    </w:p>
    <w:p>
      <w:pPr>
        <w:pStyle w:val="Normal"/>
        <w:ind w:left="426" w:right="0" w:hanging="0"/>
        <w:jc w:val="both"/>
        <w:rPr/>
      </w:pPr>
      <w:r>
        <w:rPr/>
      </w:r>
    </w:p>
    <w:p>
      <w:pPr>
        <w:pStyle w:val="Normal"/>
        <w:ind w:left="426" w:right="0" w:hanging="0"/>
        <w:jc w:val="both"/>
        <w:rPr/>
      </w:pPr>
      <w:r>
        <w:rPr/>
      </w:r>
    </w:p>
    <w:p>
      <w:pPr>
        <w:pStyle w:val="Normal"/>
        <w:ind w:left="426" w:right="0" w:hanging="0"/>
        <w:jc w:val="both"/>
        <w:rPr>
          <w:b/>
          <w:b/>
        </w:rPr>
      </w:pPr>
      <w:r>
        <w:rPr>
          <w:b/>
        </w:rPr>
        <w:t>C – Caractéristiques :</w:t>
      </w:r>
    </w:p>
    <w:p>
      <w:pPr>
        <w:pStyle w:val="Normal"/>
        <w:ind w:left="426" w:right="0" w:hanging="0"/>
        <w:jc w:val="both"/>
        <w:rPr/>
      </w:pPr>
      <w:r>
        <w:rPr/>
      </w:r>
    </w:p>
    <w:p>
      <w:pPr>
        <w:pStyle w:val="Normal"/>
        <w:ind w:left="708" w:right="0" w:hanging="0"/>
        <w:jc w:val="both"/>
        <w:rPr/>
      </w:pPr>
      <w:r>
        <w:rPr/>
        <w:t xml:space="preserve">Logement social adapté au besoin spécifique des personnes </w:t>
      </w:r>
      <w:r>
        <w:rPr>
          <w:b/>
          <w:bCs/>
        </w:rPr>
        <w:t>ayant un handicap psychique ou sujettes à des troubles psychiques.</w:t>
      </w:r>
    </w:p>
    <w:p>
      <w:pPr>
        <w:pStyle w:val="Normal"/>
        <w:ind w:left="708" w:right="0" w:hanging="0"/>
        <w:jc w:val="both"/>
        <w:rPr/>
      </w:pPr>
      <w:r>
        <w:rPr/>
        <w:t>21 logements dont un réservé à l’un des hôtes.</w:t>
      </w:r>
    </w:p>
    <w:p>
      <w:pPr>
        <w:pStyle w:val="Normal"/>
        <w:ind w:left="708" w:right="0" w:hanging="0"/>
        <w:jc w:val="both"/>
        <w:rPr/>
      </w:pPr>
      <w:r>
        <w:rPr/>
        <w:t>4 logements F2 sont destinés à des couples.</w:t>
      </w:r>
    </w:p>
    <w:p>
      <w:pPr>
        <w:pStyle w:val="Normal"/>
        <w:ind w:left="708" w:right="0" w:hanging="0"/>
        <w:jc w:val="both"/>
        <w:rPr/>
      </w:pPr>
      <w:r>
        <w:rPr/>
        <w:t>24 places.</w:t>
      </w:r>
    </w:p>
    <w:p>
      <w:pPr>
        <w:pStyle w:val="Normal"/>
        <w:ind w:left="708" w:right="0" w:hanging="0"/>
        <w:jc w:val="both"/>
        <w:rPr/>
      </w:pPr>
      <w:r>
        <w:rPr/>
      </w:r>
    </w:p>
    <w:p>
      <w:pPr>
        <w:pStyle w:val="Normal"/>
        <w:ind w:left="708" w:right="0" w:hanging="0"/>
        <w:jc w:val="both"/>
        <w:rPr/>
      </w:pPr>
      <w:r>
        <w:rPr/>
      </w:r>
    </w:p>
    <w:p>
      <w:pPr>
        <w:pStyle w:val="Normal"/>
        <w:spacing w:lineRule="auto" w:line="276" w:before="0" w:after="200"/>
        <w:rPr/>
      </w:pPr>
      <w:r>
        <w:rPr/>
      </w:r>
      <w:r>
        <w:br w:type="page"/>
      </w:r>
    </w:p>
    <w:p>
      <w:pPr>
        <w:pStyle w:val="Normal"/>
        <w:spacing w:lineRule="auto" w:line="276" w:before="0" w:after="200"/>
        <w:ind w:left="426" w:hanging="0"/>
        <w:rPr/>
      </w:pPr>
      <w:r>
        <w:rPr>
          <w:b/>
        </w:rPr>
        <w:t>D - Catégorie de bénéficiaires</w:t>
      </w:r>
      <w:r>
        <w:rPr/>
        <w:t xml:space="preserve"> (Extrait du site internet de la DRIHL) </w:t>
      </w:r>
    </w:p>
    <w:p>
      <w:pPr>
        <w:pStyle w:val="Normal"/>
        <w:spacing w:lineRule="auto" w:line="276" w:before="0" w:after="200"/>
        <w:ind w:left="708" w:hanging="0"/>
        <w:jc w:val="both"/>
        <w:rPr/>
      </w:pPr>
      <w:r>
        <w:rPr>
          <w:rStyle w:val="Strong"/>
          <w:b w:val="false"/>
        </w:rPr>
        <w:t>Les résidences accueil</w:t>
      </w:r>
      <w:r>
        <w:rPr>
          <w:rStyle w:val="Strong"/>
        </w:rPr>
        <w:t xml:space="preserve"> </w:t>
      </w:r>
      <w:r>
        <w:rPr/>
        <w:t xml:space="preserve">constituent une catégorie </w:t>
      </w:r>
      <w:r>
        <w:rPr>
          <w:b/>
          <w:bCs/>
        </w:rPr>
        <w:t>de pensions de familles destinées à l’accueil de personnes :</w:t>
      </w:r>
    </w:p>
    <w:p>
      <w:pPr>
        <w:pStyle w:val="ListParagraph"/>
        <w:keepNext w:val="true"/>
        <w:keepLines/>
        <w:numPr>
          <w:ilvl w:val="1"/>
          <w:numId w:val="4"/>
        </w:numPr>
        <w:suppressAutoHyphens w:val="true"/>
        <w:spacing w:lineRule="auto" w:line="276" w:before="0" w:after="200"/>
        <w:ind w:left="1080" w:right="0" w:hanging="360"/>
        <w:contextualSpacing/>
        <w:jc w:val="both"/>
        <w:outlineLvl w:val="1"/>
        <w:rPr>
          <w:b/>
          <w:b/>
          <w:bCs/>
        </w:rPr>
      </w:pPr>
      <w:r>
        <w:rPr>
          <w:b/>
          <w:bCs/>
        </w:rPr>
        <w:t>fragilisées et handicapées par des troubles psychiques, non obligatoirement reconnus par la Maison Départementale des Personnes Handicapées (MPDH), liés à une pathologie mentale au long cours, dont l’état est suffisamment stabilisé pour respecter et bénéficier des règles de vie semi-collective ;</w:t>
      </w:r>
    </w:p>
    <w:p>
      <w:pPr>
        <w:pStyle w:val="ListParagraph"/>
        <w:keepNext w:val="true"/>
        <w:keepLines/>
        <w:numPr>
          <w:ilvl w:val="1"/>
          <w:numId w:val="4"/>
        </w:numPr>
        <w:suppressAutoHyphens w:val="true"/>
        <w:spacing w:lineRule="auto" w:line="276" w:before="0" w:after="200"/>
        <w:ind w:left="1080" w:right="0" w:hanging="360"/>
        <w:contextualSpacing/>
        <w:jc w:val="both"/>
        <w:outlineLvl w:val="1"/>
        <w:rPr>
          <w:b/>
          <w:b/>
          <w:bCs/>
        </w:rPr>
      </w:pPr>
      <w:r>
        <w:rPr>
          <w:b/>
          <w:bCs/>
        </w:rPr>
        <w:t>suffisamment autonomes pour accéder à un logement privatif, dès lors qu’un accompagnement et des soins sont garantis en tant que de besoin ;</w:t>
      </w:r>
    </w:p>
    <w:p>
      <w:pPr>
        <w:pStyle w:val="Retraitdecorpsdetexte"/>
        <w:keepNext w:val="true"/>
        <w:keepLines/>
        <w:numPr>
          <w:ilvl w:val="0"/>
          <w:numId w:val="0"/>
        </w:numPr>
        <w:suppressAutoHyphens w:val="true"/>
        <w:ind w:left="360" w:right="0" w:hanging="0"/>
        <w:outlineLvl w:val="1"/>
        <w:rPr>
          <w:b/>
          <w:b/>
          <w:bCs/>
        </w:rPr>
      </w:pPr>
      <w:r>
        <w:rPr>
          <w:b/>
          <w:bCs/>
        </w:rPr>
      </w:r>
    </w:p>
    <w:p>
      <w:pPr>
        <w:pStyle w:val="Retraitdecorpsdetexte"/>
        <w:keepNext w:val="true"/>
        <w:keepLines/>
        <w:numPr>
          <w:ilvl w:val="1"/>
          <w:numId w:val="4"/>
        </w:numPr>
        <w:suppressAutoHyphens w:val="true"/>
        <w:ind w:left="1080" w:right="0" w:hanging="360"/>
        <w:outlineLvl w:val="1"/>
        <w:rPr>
          <w:b/>
          <w:b/>
          <w:bCs/>
        </w:rPr>
      </w:pPr>
      <w:r>
        <w:rPr>
          <w:b/>
          <w:bCs/>
        </w:rPr>
        <w:t>dans une situation d’isolement ou d’exclusion sociale à faible niveau de revenus, sans critère d’âge.</w:t>
      </w:r>
    </w:p>
    <w:p>
      <w:pPr>
        <w:pStyle w:val="Retraitdecorpsdetexte"/>
        <w:keepNext w:val="true"/>
        <w:keepLines/>
        <w:numPr>
          <w:ilvl w:val="0"/>
          <w:numId w:val="0"/>
        </w:numPr>
        <w:suppressAutoHyphens w:val="true"/>
        <w:ind w:left="708" w:right="0" w:hanging="0"/>
        <w:outlineLvl w:val="1"/>
        <w:rPr>
          <w:b/>
          <w:b/>
          <w:bCs/>
        </w:rPr>
      </w:pPr>
      <w:r>
        <w:rPr>
          <w:b/>
          <w:bCs/>
        </w:rPr>
        <w:br/>
        <w:t>Elles sont ouvertes à des personnes présentant des profils et des parcours variés, qui peuvent avoir connu des périodes d’hospitalisation prolongées, des épisodes d’errance, ou être restées à charge de leur famille. Cette diversité est source de dynamisme pour le projet social recherché.</w:t>
      </w:r>
    </w:p>
    <w:p>
      <w:pPr>
        <w:pStyle w:val="Retraitdecorpsdetexte"/>
        <w:keepNext w:val="true"/>
        <w:keepLines/>
        <w:numPr>
          <w:ilvl w:val="0"/>
          <w:numId w:val="0"/>
        </w:numPr>
        <w:suppressAutoHyphens w:val="true"/>
        <w:ind w:left="708" w:right="0" w:hanging="0"/>
        <w:outlineLvl w:val="1"/>
        <w:rPr/>
      </w:pPr>
      <w:r>
        <w:rPr>
          <w:b/>
          <w:bCs/>
        </w:rPr>
        <w:br/>
        <w:t>Créées à titre expérimental dès 2007 sur la base de la note d’information DGAS/PIA/PHAN no 2006- 523 du 16 novembre 2006, et pérennisées dans le cadre de la loi du 25 mars 2009 de mobilisation pour le logement et la lutte contre les exclusions, elles doivent en outre « disposer d’un personnel qualifié » pour, d’une p</w:t>
      </w:r>
      <w:r>
        <w:rPr/>
        <w:t>art, mettre en place « systématiquement un accompagnement et un suivi sanitaire et social » grâce à des partenariats et, d’autre part, gérer les situations de crise.</w:t>
      </w:r>
    </w:p>
    <w:p>
      <w:pPr>
        <w:pStyle w:val="Normal"/>
        <w:ind w:left="0" w:right="0" w:hanging="3960"/>
        <w:jc w:val="both"/>
        <w:rPr/>
      </w:pPr>
      <w:r>
        <w:rPr/>
      </w:r>
    </w:p>
    <w:p>
      <w:pPr>
        <w:pStyle w:val="Normal"/>
        <w:ind w:left="0" w:right="0" w:hanging="3960"/>
        <w:jc w:val="both"/>
        <w:rPr/>
      </w:pPr>
      <w:r>
        <w:rPr/>
      </w:r>
    </w:p>
    <w:p>
      <w:pPr>
        <w:pStyle w:val="Normal"/>
        <w:ind w:left="426" w:right="0" w:hanging="0"/>
        <w:jc w:val="both"/>
        <w:rPr/>
      </w:pPr>
      <w:r>
        <w:rPr>
          <w:b/>
        </w:rPr>
        <w:t>E - Nombre de jours d’ouverture</w:t>
      </w:r>
      <w:r>
        <w:rPr/>
        <w:t> : 365</w:t>
      </w:r>
    </w:p>
    <w:p>
      <w:pPr>
        <w:pStyle w:val="Normal"/>
        <w:ind w:right="0" w:hanging="0"/>
        <w:jc w:val="both"/>
        <w:rPr/>
      </w:pPr>
      <w:r>
        <w:rPr/>
      </w:r>
    </w:p>
    <w:p>
      <w:pPr>
        <w:pStyle w:val="Corpsdetexte"/>
        <w:ind w:left="426" w:right="0" w:hanging="0"/>
        <w:rPr>
          <w:b/>
          <w:b/>
        </w:rPr>
      </w:pPr>
      <w:r>
        <w:rPr>
          <w:b/>
        </w:rPr>
        <w:t>F - Localisation du projet :</w:t>
      </w:r>
    </w:p>
    <w:p>
      <w:pPr>
        <w:pStyle w:val="Corpsdetexte"/>
        <w:ind w:left="0" w:right="0" w:hanging="0"/>
        <w:rPr>
          <w:b/>
          <w:b/>
        </w:rPr>
      </w:pPr>
      <w:r>
        <w:rPr>
          <w:b/>
        </w:rPr>
      </w:r>
    </w:p>
    <w:p>
      <w:pPr>
        <w:pStyle w:val="Corpsdetexte"/>
        <w:ind w:left="708" w:right="0" w:hanging="0"/>
        <w:rPr/>
      </w:pPr>
      <w:r>
        <w:rPr/>
        <w:t xml:space="preserve">La résidence-accueil visée se situera sur la commune de Suresnes, au sud de la moitié nord des hauts de seine. </w:t>
      </w:r>
    </w:p>
    <w:p>
      <w:pPr>
        <w:pStyle w:val="Normal"/>
        <w:ind w:left="282" w:right="0" w:hanging="0"/>
        <w:jc w:val="both"/>
        <w:rPr/>
      </w:pPr>
      <w:r>
        <w:rPr/>
      </w:r>
    </w:p>
    <w:p>
      <w:pPr>
        <w:pStyle w:val="Normal"/>
        <w:ind w:left="426" w:right="0" w:hanging="1"/>
        <w:jc w:val="both"/>
        <w:rPr>
          <w:b/>
          <w:b/>
        </w:rPr>
      </w:pPr>
      <w:r>
        <w:rPr>
          <w:b/>
        </w:rPr>
        <w:t>G- Zone de résidence des bénéficiaires :</w:t>
      </w:r>
    </w:p>
    <w:p>
      <w:pPr>
        <w:pStyle w:val="Normal"/>
        <w:ind w:left="282" w:right="0" w:hanging="0"/>
        <w:jc w:val="both"/>
        <w:rPr/>
      </w:pPr>
      <w:r>
        <w:rPr/>
      </w:r>
    </w:p>
    <w:p>
      <w:pPr>
        <w:pStyle w:val="Normal"/>
        <w:ind w:left="708" w:right="0" w:hanging="0"/>
        <w:jc w:val="both"/>
        <w:rPr/>
      </w:pPr>
      <w:r>
        <w:rPr/>
        <w:t xml:space="preserve">Les résidents de la résidence-accueil </w:t>
      </w:r>
      <w:r>
        <w:rPr>
          <w:b/>
          <w:bCs/>
        </w:rPr>
        <w:t>seront originaires du département des hauts de seine et pour au moins une moitié de la ville de Suresnes ou encore de Puteaux, les autres aussi près que possible des villes voisines afin de maintenir la proximité d’un environnement connu et des aspects pratiques (maintien des soins avec les praticiens habituels, au moins de façon transitoire.).</w:t>
      </w:r>
      <w:r>
        <w:rPr/>
        <w:t xml:space="preserve"> Les résidents vont acquérir leur domiciliation à Suresnes. Il s’agit donc de limiter l’augmentation de la file active des patients du secteur psychiatrique (92G20, 21, 9, 13, 29), même si des accords de maintien des soins dans le secteur d’origine peuvent être conclus.</w:t>
      </w:r>
    </w:p>
    <w:p>
      <w:pPr>
        <w:pStyle w:val="Normal"/>
        <w:ind w:left="708" w:right="0" w:hanging="0"/>
        <w:jc w:val="both"/>
        <w:rPr/>
      </w:pPr>
      <w:r>
        <w:rPr/>
      </w:r>
    </w:p>
    <w:p>
      <w:pPr>
        <w:pStyle w:val="Normal"/>
        <w:spacing w:lineRule="auto" w:line="276" w:before="0" w:after="200"/>
        <w:rPr/>
      </w:pPr>
      <w:r>
        <w:rPr/>
      </w:r>
      <w:r>
        <w:br w:type="page"/>
      </w:r>
    </w:p>
    <w:p>
      <w:pPr>
        <w:pStyle w:val="Normal"/>
        <w:spacing w:lineRule="auto" w:line="276" w:before="0" w:after="200"/>
        <w:ind w:left="708" w:hanging="0"/>
        <w:rPr>
          <w:b/>
          <w:b/>
        </w:rPr>
      </w:pPr>
      <w:r>
        <w:rPr>
          <w:b/>
        </w:rPr>
        <w:t>H - Les résidents seront adressés :</w:t>
      </w:r>
    </w:p>
    <w:p>
      <w:pPr>
        <w:pStyle w:val="Normal"/>
        <w:spacing w:lineRule="auto" w:line="276" w:before="0" w:after="200"/>
        <w:ind w:left="708" w:hanging="0"/>
        <w:jc w:val="both"/>
        <w:rPr/>
      </w:pPr>
      <w:r>
        <w:rPr/>
        <w:t xml:space="preserve">Toutes les candidatures sont présentées par le SIAO en fonction des spécificités de la résidence-accueil. Ces candidatures proviennent notamment, via les services sociaux, des secteurs de psychiatrie dont le secteur 92G09 ou des structures </w:t>
      </w:r>
      <w:r>
        <w:rPr>
          <w:b/>
          <w:i/>
        </w:rPr>
        <w:t>d’espérance hauts de seine</w:t>
      </w:r>
      <w:r>
        <w:rPr/>
        <w:t>.</w:t>
      </w:r>
    </w:p>
    <w:p>
      <w:pPr>
        <w:pStyle w:val="Normal"/>
        <w:spacing w:lineRule="auto" w:line="276" w:before="0" w:after="200"/>
        <w:ind w:left="708" w:hanging="0"/>
        <w:jc w:val="both"/>
        <w:rPr/>
      </w:pPr>
      <w:r>
        <w:rPr/>
        <w:t>Dans ce cadre, un travail partenarial sera mis en place entre la résidence-accueil, le SIAO, le secteur de psychiatrie et la MDPH notamment.</w:t>
      </w:r>
    </w:p>
    <w:p>
      <w:pPr>
        <w:pStyle w:val="Normal"/>
        <w:spacing w:lineRule="auto" w:line="276" w:before="0" w:after="200"/>
        <w:ind w:left="708" w:hanging="0"/>
        <w:jc w:val="both"/>
        <w:rPr/>
      </w:pPr>
      <w:r>
        <w:rPr/>
        <w:t>Dans tous les cas, les résidents auront été reçus lors de différents entretiens et présentation de la résidence-accueil ainsi que de son projet. Lors de la commission d’admission (pages 14 et 15) les membres émettent un avis qui permet au gestionnaire de formuler une décision avisée.</w:t>
      </w:r>
    </w:p>
    <w:p>
      <w:pPr>
        <w:pStyle w:val="Normal"/>
        <w:ind w:right="0" w:hanging="0"/>
        <w:jc w:val="both"/>
        <w:rPr>
          <w:b/>
          <w:b/>
          <w:bCs/>
        </w:rPr>
      </w:pPr>
      <w:r>
        <w:rPr>
          <w:b/>
          <w:bCs/>
        </w:rPr>
      </w:r>
    </w:p>
    <w:p>
      <w:pPr>
        <w:pStyle w:val="ListParagraph"/>
        <w:numPr>
          <w:ilvl w:val="0"/>
          <w:numId w:val="18"/>
        </w:numPr>
        <w:ind w:left="720" w:right="0" w:hanging="360"/>
        <w:jc w:val="both"/>
        <w:rPr>
          <w:b/>
          <w:b/>
        </w:rPr>
      </w:pPr>
      <w:r>
        <w:rPr>
          <w:b/>
          <w:bCs/>
        </w:rPr>
        <w:t>ACCUEIL FAVORABLE SUR LA COMMUNE DE SURESNES ET LE</w:t>
      </w:r>
      <w:r>
        <w:rPr>
          <w:b/>
        </w:rPr>
        <w:t xml:space="preserve"> DÉPARTEMENT</w:t>
      </w:r>
    </w:p>
    <w:p>
      <w:pPr>
        <w:pStyle w:val="Normal"/>
        <w:ind w:left="426" w:right="0" w:hanging="0"/>
        <w:jc w:val="both"/>
        <w:rPr>
          <w:b/>
          <w:b/>
          <w:bCs/>
        </w:rPr>
      </w:pPr>
      <w:r>
        <w:rPr>
          <w:b/>
          <w:bCs/>
        </w:rPr>
      </w:r>
    </w:p>
    <w:p>
      <w:pPr>
        <w:pStyle w:val="Normal"/>
        <w:ind w:left="426" w:right="0" w:hanging="0"/>
        <w:jc w:val="both"/>
        <w:rPr>
          <w:b/>
          <w:b/>
          <w:bCs/>
        </w:rPr>
      </w:pPr>
      <w:r>
        <w:rPr>
          <w:b/>
          <w:bCs/>
        </w:rPr>
        <w:t>Municipalité :</w:t>
      </w:r>
    </w:p>
    <w:p>
      <w:pPr>
        <w:pStyle w:val="Normal"/>
        <w:ind w:left="426" w:right="0" w:hanging="0"/>
        <w:jc w:val="both"/>
        <w:rPr>
          <w:b/>
          <w:b/>
          <w:bCs/>
        </w:rPr>
      </w:pPr>
      <w:r>
        <w:rPr>
          <w:b/>
          <w:bCs/>
        </w:rPr>
      </w:r>
    </w:p>
    <w:p>
      <w:pPr>
        <w:pStyle w:val="Normal"/>
        <w:ind w:left="426" w:right="0" w:hanging="0"/>
        <w:jc w:val="both"/>
        <w:rPr/>
      </w:pPr>
      <w:r>
        <w:rPr/>
        <w:t>Monsieur le Maire de SURESNES, Président d’Hauts de Seine Habitat et les élus de la ville sont des acteurs à l’origine du projet de résidence-accueil. La municipalité a multiplié les échanges et concertations pour la bonne réalisation de ce projet.</w:t>
      </w:r>
    </w:p>
    <w:p>
      <w:pPr>
        <w:pStyle w:val="Normal"/>
        <w:ind w:left="426" w:right="0" w:hanging="0"/>
        <w:jc w:val="both"/>
        <w:rPr/>
      </w:pPr>
      <w:r>
        <w:rPr/>
      </w:r>
    </w:p>
    <w:p>
      <w:pPr>
        <w:pStyle w:val="Normal"/>
        <w:ind w:left="426" w:right="0" w:hanging="0"/>
        <w:jc w:val="both"/>
        <w:rPr>
          <w:b/>
          <w:b/>
        </w:rPr>
      </w:pPr>
      <w:r>
        <w:rPr>
          <w:b/>
        </w:rPr>
        <w:t xml:space="preserve">Hauts de Seine Habitat : </w:t>
      </w:r>
    </w:p>
    <w:p>
      <w:pPr>
        <w:pStyle w:val="Normal"/>
        <w:ind w:left="426" w:right="0" w:hanging="0"/>
        <w:jc w:val="both"/>
        <w:rPr>
          <w:b/>
          <w:b/>
        </w:rPr>
      </w:pPr>
      <w:r>
        <w:rPr>
          <w:b/>
        </w:rPr>
      </w:r>
    </w:p>
    <w:p>
      <w:pPr>
        <w:pStyle w:val="Normal"/>
        <w:ind w:left="426" w:right="0" w:hanging="0"/>
        <w:jc w:val="both"/>
        <w:rPr>
          <w:color w:val="FF0000"/>
        </w:rPr>
      </w:pPr>
      <w:r>
        <w:rPr/>
        <w:t>L’Office d’Habitat du Département des Hauts de Seine, propriétaire des locaux est favorable à la réalisation du projet de résidence-accueil dans les meilleurs délais, les locaux étant libres d’occupation dès à présent. L’office d’Habitat du Département des Hauts de Seine a revu le montant du loyer annuel pour rendre possible la gestion financière de l’opération.</w:t>
      </w:r>
    </w:p>
    <w:p>
      <w:pPr>
        <w:pStyle w:val="Normal"/>
        <w:ind w:left="426" w:right="0" w:hanging="0"/>
        <w:jc w:val="both"/>
        <w:rPr/>
      </w:pPr>
      <w:r>
        <w:rPr/>
      </w:r>
    </w:p>
    <w:p>
      <w:pPr>
        <w:pStyle w:val="Normal"/>
        <w:ind w:left="426" w:right="0" w:hanging="0"/>
        <w:jc w:val="both"/>
        <w:rPr>
          <w:bCs/>
        </w:rPr>
      </w:pPr>
      <w:r>
        <w:rPr>
          <w:b/>
          <w:bCs/>
        </w:rPr>
        <w:t xml:space="preserve">Le Département des Hauts de Seine et l’Agence Régionale de Santé d’Ile de France, </w:t>
      </w:r>
      <w:r>
        <w:rPr>
          <w:bCs/>
        </w:rPr>
        <w:t>ont concrétisé leur soutien au projet de résidence-accueil en accordant la création de 15 places supplémentaires de SAMSAH.</w:t>
      </w:r>
    </w:p>
    <w:p>
      <w:pPr>
        <w:pStyle w:val="Normal"/>
        <w:ind w:left="426" w:right="0" w:hanging="0"/>
        <w:rPr>
          <w:bCs/>
        </w:rPr>
      </w:pPr>
      <w:r>
        <w:rPr>
          <w:bCs/>
        </w:rPr>
      </w:r>
    </w:p>
    <w:p>
      <w:pPr>
        <w:pStyle w:val="Normal"/>
        <w:ind w:left="426" w:right="0" w:hanging="0"/>
        <w:jc w:val="both"/>
        <w:rPr>
          <w:b/>
          <w:b/>
          <w:bCs/>
        </w:rPr>
      </w:pPr>
      <w:r>
        <w:rPr>
          <w:b/>
          <w:bCs/>
        </w:rPr>
        <w:t xml:space="preserve">CMP : </w:t>
      </w:r>
      <w:r>
        <w:rPr/>
        <w:t>L’Etablissement Public de Santé Erasme, représenté par le secteur 92G09 est partie prenante dans ce projet. Le CMP de Suresnes a été dès le début actif dans la réflexion/conception du projet. Comme la majorité des secteurs de psychiatrie, le secteur 92G09 a un besoin identifié de solutions médicosociales, de logements accompagnés pour nombre de ses patients.</w:t>
      </w:r>
    </w:p>
    <w:p>
      <w:pPr>
        <w:pStyle w:val="Normal"/>
        <w:ind w:left="426" w:right="0" w:hanging="0"/>
        <w:jc w:val="both"/>
        <w:rPr>
          <w:b/>
          <w:b/>
          <w:bCs/>
        </w:rPr>
      </w:pPr>
      <w:r>
        <w:rPr>
          <w:b/>
          <w:bCs/>
        </w:rPr>
      </w:r>
    </w:p>
    <w:p>
      <w:pPr>
        <w:pStyle w:val="Normal"/>
        <w:ind w:right="0" w:hanging="0"/>
        <w:jc w:val="both"/>
        <w:rPr/>
      </w:pPr>
      <w:r>
        <w:rPr/>
      </w:r>
    </w:p>
    <w:p>
      <w:pPr>
        <w:pStyle w:val="Corpsdetexte"/>
        <w:numPr>
          <w:ilvl w:val="0"/>
          <w:numId w:val="18"/>
        </w:numPr>
        <w:ind w:left="720" w:right="0" w:hanging="360"/>
        <w:rPr>
          <w:b/>
          <w:b/>
        </w:rPr>
      </w:pPr>
      <w:r>
        <w:rPr>
          <w:b/>
        </w:rPr>
        <w:t xml:space="preserve"> </w:t>
      </w:r>
      <w:r>
        <w:rPr>
          <w:b/>
        </w:rPr>
        <w:t xml:space="preserve">MODALITES D’ACCES A LA RESIDENCE-ACCUEIL    </w:t>
      </w:r>
    </w:p>
    <w:p>
      <w:pPr>
        <w:pStyle w:val="Corpsdetexte"/>
        <w:ind w:left="0" w:right="0" w:hanging="0"/>
        <w:jc w:val="left"/>
        <w:rPr/>
      </w:pPr>
      <w:r>
        <w:rPr/>
      </w:r>
    </w:p>
    <w:p>
      <w:pPr>
        <w:pStyle w:val="Corpsdetexte"/>
        <w:ind w:left="360" w:right="0" w:hanging="0"/>
        <w:rPr/>
      </w:pPr>
      <w:r>
        <w:rPr/>
        <w:t>La résidence-accueil est située à Suresnes, dans le quartier Ecluse-Belvédère</w:t>
      </w:r>
      <w:r>
        <w:rPr>
          <w:color w:val="FF0000"/>
        </w:rPr>
        <w:t>.</w:t>
      </w:r>
    </w:p>
    <w:p>
      <w:pPr>
        <w:pStyle w:val="Corpsdetexte"/>
        <w:ind w:left="360" w:right="0" w:hanging="0"/>
        <w:rPr/>
      </w:pPr>
      <w:r>
        <w:rPr/>
        <w:t>Les commerces et services, publics et privés sont immédiatement sur place.</w:t>
      </w:r>
    </w:p>
    <w:p>
      <w:pPr>
        <w:pStyle w:val="Corpsdetexte"/>
        <w:ind w:left="360" w:right="0" w:hanging="0"/>
        <w:rPr/>
      </w:pPr>
      <w:r>
        <w:rPr/>
        <w:t>L’immeuble est résidentiel, calme, inséré dans un ensemble immobilier avec promenade.</w:t>
      </w:r>
    </w:p>
    <w:p>
      <w:pPr>
        <w:pStyle w:val="Corpsdetexte"/>
        <w:ind w:left="360" w:right="0" w:hanging="0"/>
        <w:rPr/>
      </w:pPr>
      <w:r>
        <w:rPr/>
        <w:t>Les accès à Paris, autres communes de banlieue sud et ouest sont remarquablement desservis par bus, tram et RER.</w:t>
      </w:r>
      <w:r>
        <w:br w:type="page"/>
      </w:r>
    </w:p>
    <w:p>
      <w:pPr>
        <w:pStyle w:val="Normal"/>
        <w:spacing w:lineRule="auto" w:line="276" w:before="0" w:after="200"/>
        <w:jc w:val="center"/>
        <w:rPr>
          <w:b/>
          <w:b/>
        </w:rPr>
      </w:pPr>
      <w:r>
        <w:rPr>
          <w:b/>
        </w:rPr>
        <w:t>PLAN DE SURESNES ET ENVIRONS, DESSERTE</w:t>
      </w:r>
    </w:p>
    <w:p>
      <w:pPr>
        <w:pStyle w:val="Normal"/>
        <w:spacing w:lineRule="auto" w:line="276" w:before="0" w:after="200"/>
        <w:jc w:val="center"/>
        <w:rPr/>
      </w:pPr>
      <w:r>
        <w:rPr>
          <w:b/>
        </w:rPr>
        <w:t>Résidence 21 allée Santos DUMONT</w:t>
      </w:r>
    </w:p>
    <w:p>
      <w:pPr>
        <w:pStyle w:val="Normal"/>
        <w:spacing w:lineRule="auto" w:line="276" w:before="0" w:after="200"/>
        <w:rPr/>
      </w:pPr>
      <w:r>
        <w:rPr/>
      </w:r>
    </w:p>
    <w:p>
      <w:pPr>
        <w:pStyle w:val="Normal"/>
        <w:spacing w:lineRule="auto" w:line="276" w:before="0" w:after="200"/>
        <w:rPr/>
      </w:pPr>
      <w:r>
        <w:rPr/>
        <w:drawing>
          <wp:inline distT="0" distB="0" distL="0" distR="0">
            <wp:extent cx="5760720" cy="3865880"/>
            <wp:effectExtent l="0" t="0" r="0" b="0"/>
            <wp:docPr id="2" name="Image 2" descr="http://www.pariscorporatehousing.com/content/apartments/92029/images/DSC_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http://www.pariscorporatehousing.com/content/apartments/92029/images/DSC_2426.jpg"/>
                    <pic:cNvPicPr>
                      <a:picLocks noChangeAspect="1" noChangeArrowheads="1"/>
                    </pic:cNvPicPr>
                  </pic:nvPicPr>
                  <pic:blipFill>
                    <a:blip r:embed="rId3"/>
                    <a:stretch>
                      <a:fillRect/>
                    </a:stretch>
                  </pic:blipFill>
                  <pic:spPr bwMode="auto">
                    <a:xfrm>
                      <a:off x="0" y="0"/>
                      <a:ext cx="5760720" cy="3865880"/>
                    </a:xfrm>
                    <a:prstGeom prst="rect">
                      <a:avLst/>
                    </a:prstGeom>
                  </pic:spPr>
                </pic:pic>
              </a:graphicData>
            </a:graphic>
          </wp:inline>
        </w:drawing>
      </w:r>
    </w:p>
    <w:p>
      <w:pPr>
        <w:pStyle w:val="Normal"/>
        <w:spacing w:lineRule="auto" w:line="276" w:before="0" w:after="200"/>
        <w:jc w:val="center"/>
        <w:rPr>
          <w:b/>
          <w:b/>
        </w:rPr>
      </w:pPr>
      <w:r>
        <w:rPr>
          <w:b/>
        </w:rPr>
        <w:t>Plan de Suresnes</w:t>
      </w:r>
    </w:p>
    <w:p>
      <w:pPr>
        <w:pStyle w:val="Normal"/>
        <w:spacing w:lineRule="auto" w:line="276" w:before="0" w:after="200"/>
        <w:jc w:val="center"/>
        <w:rPr>
          <w:b/>
          <w:b/>
        </w:rPr>
      </w:pPr>
      <w:r>
        <w:rPr/>
        <w:drawing>
          <wp:inline distT="0" distB="0" distL="0" distR="0">
            <wp:extent cx="5939790" cy="3341370"/>
            <wp:effectExtent l="0" t="0" r="0" b="0"/>
            <wp:docPr id="3" name="Imag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6" descr=""/>
                    <pic:cNvPicPr>
                      <a:picLocks noChangeAspect="1" noChangeArrowheads="1"/>
                    </pic:cNvPicPr>
                  </pic:nvPicPr>
                  <pic:blipFill>
                    <a:blip r:embed="rId4"/>
                    <a:stretch>
                      <a:fillRect/>
                    </a:stretch>
                  </pic:blipFill>
                  <pic:spPr bwMode="auto">
                    <a:xfrm>
                      <a:off x="0" y="0"/>
                      <a:ext cx="5939790" cy="334137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b/>
          <w:b/>
        </w:rPr>
      </w:pPr>
      <w:r>
        <w:rPr>
          <w:b/>
        </w:rPr>
        <w:t>SURESNES : UNE CHANCE POUR LA RÉSIDENCE</w:t>
      </w:r>
    </w:p>
    <w:p>
      <w:pPr>
        <w:pStyle w:val="Corpsdetexte"/>
        <w:ind w:right="0" w:hanging="0"/>
        <w:jc w:val="left"/>
        <w:rPr>
          <w:b/>
          <w:b/>
        </w:rPr>
      </w:pPr>
      <w:r>
        <w:rPr>
          <w:b/>
        </w:rPr>
      </w:r>
    </w:p>
    <w:p>
      <w:pPr>
        <w:pStyle w:val="Corpsdetexte"/>
        <w:numPr>
          <w:ilvl w:val="1"/>
          <w:numId w:val="7"/>
        </w:numPr>
        <w:ind w:left="1080" w:right="0" w:hanging="360"/>
        <w:rPr/>
      </w:pPr>
      <w:r>
        <w:rPr>
          <w:b/>
        </w:rPr>
        <w:t>Des relations avec le voisinage</w:t>
      </w:r>
      <w:r>
        <w:rPr/>
        <w:t> :</w:t>
      </w:r>
    </w:p>
    <w:p>
      <w:pPr>
        <w:pStyle w:val="Corpsdetexte"/>
        <w:ind w:left="426" w:right="0" w:hanging="0"/>
        <w:rPr/>
      </w:pPr>
      <w:r>
        <w:rPr/>
      </w:r>
    </w:p>
    <w:p>
      <w:pPr>
        <w:pStyle w:val="Corpsdetexte"/>
        <w:ind w:left="426" w:right="0" w:hanging="0"/>
        <w:rPr/>
      </w:pPr>
      <w:r>
        <w:rPr/>
        <w:t>L’allée SANTOS-DUMONT traverse un ensemble résidentiel calme mais vivant, propice aux rencontres entre voisins. Dès lors, l’implantation d’une résidence pour public spécifique doit prendre en compte deux aspects : d’une part, présenter aux porte-paroles, voire aux résidents de l’ensemble immobilier l’action menée dans le cadre d’une résidence-accueil, ses objectifs, son fonctionnement. Cette relation avec les porte-paroles doit être régulière, car elle aura pour but de prévenir d’éventuelles difficultés ou incompréhensions. D’autre part, la résidence se rendra toujours disponible pour partager des relations conviviales de voisinage. Ainsi, le personnel intervenant à la résidence soutiendra particulièrement la présence et la participation des résidents aux nombreux événements conviviaux qui se tiennent régulièrement sur la commune de Suresnes.</w:t>
      </w:r>
    </w:p>
    <w:p>
      <w:pPr>
        <w:pStyle w:val="Corpsdetexte"/>
        <w:ind w:left="426" w:right="0" w:hanging="0"/>
        <w:rPr/>
      </w:pPr>
      <w:r>
        <w:rPr/>
      </w:r>
    </w:p>
    <w:p>
      <w:pPr>
        <w:pStyle w:val="Corpsdetexte"/>
        <w:numPr>
          <w:ilvl w:val="0"/>
          <w:numId w:val="19"/>
        </w:numPr>
        <w:ind w:left="1146" w:right="0" w:hanging="360"/>
        <w:rPr>
          <w:b/>
          <w:b/>
        </w:rPr>
      </w:pPr>
      <w:r>
        <w:rPr>
          <w:b/>
        </w:rPr>
        <w:t>Un Conseil Local en Santé Mentale (CLSM) :</w:t>
      </w:r>
    </w:p>
    <w:p>
      <w:pPr>
        <w:pStyle w:val="Corpsdetexte"/>
        <w:ind w:left="426" w:right="0" w:hanging="0"/>
        <w:rPr/>
      </w:pPr>
      <w:r>
        <w:rPr/>
      </w:r>
    </w:p>
    <w:p>
      <w:pPr>
        <w:pStyle w:val="Corpsdetexte"/>
        <w:ind w:left="426" w:right="0" w:hanging="0"/>
        <w:rPr/>
      </w:pPr>
      <w:r>
        <w:rPr/>
        <w:t xml:space="preserve">La résidence-accueil et l’association </w:t>
      </w:r>
      <w:r>
        <w:rPr>
          <w:b/>
          <w:i/>
        </w:rPr>
        <w:t>espérance hauts de seine</w:t>
      </w:r>
      <w:r>
        <w:rPr>
          <w:i/>
        </w:rPr>
        <w:t xml:space="preserve"> </w:t>
      </w:r>
      <w:r>
        <w:rPr/>
        <w:t>se rendra volontiers disponible pour tout concours avec le CLSM (réflexion, participation, étude d’accueil de nouveaux résidents…).</w:t>
      </w:r>
    </w:p>
    <w:p>
      <w:pPr>
        <w:pStyle w:val="Corpsdetexte"/>
        <w:ind w:left="426" w:right="0" w:hanging="0"/>
        <w:rPr/>
      </w:pPr>
      <w:r>
        <w:rPr/>
      </w:r>
    </w:p>
    <w:p>
      <w:pPr>
        <w:pStyle w:val="Corpsdetexte"/>
        <w:numPr>
          <w:ilvl w:val="0"/>
          <w:numId w:val="19"/>
        </w:numPr>
        <w:ind w:left="1146" w:right="0" w:hanging="360"/>
        <w:rPr>
          <w:b/>
          <w:b/>
        </w:rPr>
      </w:pPr>
      <w:r>
        <w:rPr>
          <w:b/>
        </w:rPr>
        <w:t>Les services de la ville :</w:t>
      </w:r>
    </w:p>
    <w:p>
      <w:pPr>
        <w:pStyle w:val="Corpsdetexte"/>
        <w:ind w:left="426" w:right="0" w:hanging="0"/>
        <w:rPr/>
      </w:pPr>
      <w:r>
        <w:rPr/>
      </w:r>
    </w:p>
    <w:p>
      <w:pPr>
        <w:pStyle w:val="Corpsdetexte"/>
        <w:ind w:left="426" w:right="0" w:hanging="0"/>
        <w:rPr/>
      </w:pPr>
      <w:r>
        <w:rPr/>
        <w:t xml:space="preserve">La municipalité de Suresnes s’est dotée de nombreux équipements performants en matière culturelle, sportive, sociale. De son côté, </w:t>
      </w:r>
      <w:r>
        <w:rPr>
          <w:b/>
          <w:i/>
        </w:rPr>
        <w:t>espérance hauts de seine</w:t>
      </w:r>
      <w:r>
        <w:rPr/>
        <w:t xml:space="preserve"> œuvre pour un habitat inclusif, une insertion dans la cité. Les intervenants professionnels auront à cœur de présenter largement ces équipements aux résidents et les accompagner vers leur inscription et leur fréquentation.</w:t>
      </w:r>
    </w:p>
    <w:p>
      <w:pPr>
        <w:pStyle w:val="Corpsdetexte"/>
        <w:ind w:left="426" w:right="0" w:hanging="0"/>
        <w:rPr/>
      </w:pPr>
      <w:r>
        <w:rPr/>
        <w:t>En fonction des profils de résidents et de l’évolution de la dynamique de la résidence, il pourra être apprécié d’échanger avec les bénévoles de la ville et d’envisager leur intervention dans des actions d’animation, d’atelier ou de convivialité avec les résidents.</w:t>
      </w:r>
    </w:p>
    <w:p>
      <w:pPr>
        <w:pStyle w:val="ListParagraph"/>
        <w:spacing w:lineRule="auto" w:line="276" w:before="0" w:after="200"/>
        <w:ind w:left="426" w:hanging="0"/>
        <w:contextualSpacing/>
        <w:rPr>
          <w:b/>
          <w:b/>
        </w:rPr>
      </w:pPr>
      <w:r>
        <w:rPr>
          <w:b/>
        </w:rPr>
      </w:r>
    </w:p>
    <w:p>
      <w:pPr>
        <w:pStyle w:val="Corpsdetexte"/>
        <w:numPr>
          <w:ilvl w:val="0"/>
          <w:numId w:val="18"/>
        </w:numPr>
        <w:ind w:left="720" w:right="0" w:hanging="360"/>
        <w:jc w:val="left"/>
        <w:rPr>
          <w:b/>
          <w:b/>
        </w:rPr>
      </w:pPr>
      <w:r>
        <w:rPr>
          <w:b/>
        </w:rPr>
        <w:t>ADMISSION ET DURÉE  DE L’ACCUEIL DES RÉSIDENTS</w:t>
      </w:r>
    </w:p>
    <w:p>
      <w:pPr>
        <w:pStyle w:val="Normal"/>
        <w:ind w:left="0" w:right="0" w:hanging="0"/>
        <w:jc w:val="both"/>
        <w:rPr/>
      </w:pPr>
      <w:r>
        <w:rPr/>
      </w:r>
    </w:p>
    <w:p>
      <w:pPr>
        <w:pStyle w:val="Normal"/>
        <w:ind w:left="360" w:right="0" w:hanging="0"/>
        <w:jc w:val="both"/>
        <w:rPr/>
      </w:pPr>
      <w:r>
        <w:rPr/>
        <w:t>L’étude des candidatures de personnes souhaitant devenir locataires de la résidence-accueil doit tenir compte :</w:t>
      </w:r>
    </w:p>
    <w:p>
      <w:pPr>
        <w:pStyle w:val="Normal"/>
        <w:ind w:left="360" w:right="0" w:hanging="0"/>
        <w:jc w:val="both"/>
        <w:rPr/>
      </w:pPr>
      <w:r>
        <w:rPr/>
      </w:r>
    </w:p>
    <w:p>
      <w:pPr>
        <w:pStyle w:val="ListParagraph"/>
        <w:numPr>
          <w:ilvl w:val="1"/>
          <w:numId w:val="11"/>
        </w:numPr>
        <w:ind w:left="1440" w:right="0" w:hanging="360"/>
        <w:rPr/>
      </w:pPr>
      <w:r>
        <w:rPr/>
        <w:t>des critères définis dans l’annexe de la circulaire DGAS/2006/523.</w:t>
      </w:r>
    </w:p>
    <w:p>
      <w:pPr>
        <w:pStyle w:val="Normal"/>
        <w:ind w:left="1080" w:right="0" w:hanging="0"/>
        <w:rPr/>
      </w:pPr>
      <w:r>
        <w:rPr/>
      </w:r>
    </w:p>
    <w:p>
      <w:pPr>
        <w:pStyle w:val="Normal"/>
        <w:ind w:left="720" w:right="0" w:hanging="0"/>
        <w:jc w:val="both"/>
        <w:rPr/>
      </w:pPr>
      <w:r>
        <w:rPr/>
        <w:t xml:space="preserve">L’annexe de la circulaire précise que le public des résidences-accueil est composé de personnes fragilisées et handicapées par des troubles psychiques liés à une pathologie mentale au long cours. </w:t>
      </w:r>
      <w:r>
        <w:rPr>
          <w:b/>
          <w:bCs/>
        </w:rPr>
        <w:t>Il apparaît donc que le statut de personne handicapée n’est pas indispensable pour bénéficier de ce dispositif</w:t>
      </w:r>
      <w:r>
        <w:rPr/>
        <w:t xml:space="preserve">. En revanche, l’existence d’une pathologie psychique doit être portée à la connaissance du membre de la commission susceptible de recevoir cette information. </w:t>
      </w:r>
      <w:r>
        <w:br w:type="page"/>
      </w:r>
    </w:p>
    <w:p>
      <w:pPr>
        <w:pStyle w:val="ListParagraph"/>
        <w:numPr>
          <w:ilvl w:val="1"/>
          <w:numId w:val="11"/>
        </w:numPr>
        <w:spacing w:lineRule="auto" w:line="276" w:before="0" w:after="200"/>
        <w:contextualSpacing/>
        <w:rPr/>
      </w:pPr>
      <w:r>
        <w:rPr/>
        <w:t>du meilleur niveau de prévisibilité de la bonne indication.</w:t>
      </w:r>
    </w:p>
    <w:p>
      <w:pPr>
        <w:pStyle w:val="Normal"/>
        <w:ind w:left="1080" w:right="0" w:hanging="0"/>
        <w:jc w:val="both"/>
        <w:rPr/>
      </w:pPr>
      <w:r>
        <w:rPr/>
      </w:r>
    </w:p>
    <w:p>
      <w:pPr>
        <w:pStyle w:val="Normal"/>
        <w:ind w:left="360" w:right="0" w:hanging="0"/>
        <w:jc w:val="both"/>
        <w:rPr/>
      </w:pPr>
      <w:r>
        <w:rPr/>
        <w:t xml:space="preserve">La même annexe prévoit deux critères concernant l’adaptabilité. Le premier critère repose </w:t>
      </w:r>
      <w:r>
        <w:rPr>
          <w:b/>
          <w:bCs/>
        </w:rPr>
        <w:t>sur une stabilisation suffisante de l’état qui doit être compatible avec les règles de vie d’une semi collectivité.</w:t>
      </w:r>
      <w:r>
        <w:rPr/>
        <w:t xml:space="preserve"> Par extension, les comportements non directement liés à l’état psychique mais qui posent des problèmes dans le cadre d’une collectivité (alcool, drogue…) seront proscrits.</w:t>
      </w:r>
    </w:p>
    <w:p>
      <w:pPr>
        <w:pStyle w:val="Normal"/>
        <w:ind w:left="360" w:right="0" w:hanging="0"/>
        <w:jc w:val="both"/>
        <w:rPr/>
      </w:pPr>
      <w:r>
        <w:rPr/>
        <w:t xml:space="preserve">Le second précise </w:t>
      </w:r>
      <w:r>
        <w:rPr>
          <w:b/>
          <w:bCs/>
        </w:rPr>
        <w:t>un degré suffisant d’autonomie, compatible avec l’accès et le maintien dans un logement privatif, y compris avec les aides et soutiens, sociaux, médicaux, domestiques qui peuvent faciliter l’adaptation et le maintien dan</w:t>
      </w:r>
      <w:r>
        <w:rPr/>
        <w:t>s cette formule de logement.</w:t>
      </w:r>
    </w:p>
    <w:p>
      <w:pPr>
        <w:pStyle w:val="Normal"/>
        <w:ind w:left="360" w:right="0" w:hanging="0"/>
        <w:jc w:val="both"/>
        <w:rPr/>
      </w:pPr>
      <w:r>
        <w:rPr/>
      </w:r>
    </w:p>
    <w:p>
      <w:pPr>
        <w:pStyle w:val="ListParagraph"/>
        <w:numPr>
          <w:ilvl w:val="1"/>
          <w:numId w:val="11"/>
        </w:numPr>
        <w:ind w:left="1440" w:right="0" w:hanging="360"/>
        <w:jc w:val="both"/>
        <w:rPr/>
      </w:pPr>
      <w:r>
        <w:rPr/>
        <w:t>de la qualité de partenariat pouvant être établie entre le candidat et les accompagnants.</w:t>
      </w:r>
    </w:p>
    <w:p>
      <w:pPr>
        <w:pStyle w:val="Normal"/>
        <w:ind w:left="1080" w:right="0" w:hanging="0"/>
        <w:jc w:val="both"/>
        <w:rPr/>
      </w:pPr>
      <w:r>
        <w:rPr/>
      </w:r>
    </w:p>
    <w:p>
      <w:pPr>
        <w:pStyle w:val="Normal"/>
        <w:ind w:left="360" w:right="0" w:hanging="0"/>
        <w:jc w:val="both"/>
        <w:rPr/>
      </w:pPr>
      <w:r>
        <w:rPr/>
        <w:t xml:space="preserve"> </w:t>
      </w:r>
      <w:r>
        <w:rPr/>
        <w:t xml:space="preserve">Le projet de logement en résidence accueil est l’expression d’un projet de vie. </w:t>
      </w:r>
      <w:r>
        <w:rPr>
          <w:b/>
          <w:bCs/>
        </w:rPr>
        <w:t>Le système d’accompagnement, attaché à la résidence ou institutionnel (CMP, SAVS, SAMSAH…</w:t>
      </w:r>
      <w:r>
        <w:rPr/>
        <w:t>), soutient ce projet de vie, au niveau de l’insertion professionnelle ou d’autres formes d’activités de jour, au niveau du maintien des personnes dans leur activité sociale, quotidienne, domestique, ainsi qu’au niveau des soins dans le cadre d’un relais avec les équipes soignantes ou d’alerte lors de rechutes prévisibles. Ce dispositif correspond à un travail de prévention, d’accompagnement dans les domaines où la personne se présente comme plus fragile et de soutien dans le maintien à domicile des publics fragilisés par la maladie mentale.</w:t>
      </w:r>
    </w:p>
    <w:p>
      <w:pPr>
        <w:pStyle w:val="Normal"/>
        <w:ind w:left="360" w:right="0" w:hanging="0"/>
        <w:jc w:val="both"/>
        <w:rPr/>
      </w:pPr>
      <w:r>
        <w:rPr/>
      </w:r>
    </w:p>
    <w:p>
      <w:pPr>
        <w:pStyle w:val="Normal"/>
        <w:ind w:left="360" w:right="0" w:hanging="0"/>
        <w:jc w:val="both"/>
        <w:rPr/>
      </w:pPr>
      <w:r>
        <w:rPr/>
        <w:t>Conformément aux indications de la circulaire, les personnes proviendront d’horizons variés, qu’il s’agisse de leur origine géographique sur le département, des secteurs psychiatriques les prenant en charge, des lieux dans lesquels elles poursuivent des activités de jour ou un travail.</w:t>
      </w:r>
    </w:p>
    <w:p>
      <w:pPr>
        <w:pStyle w:val="Normal"/>
        <w:tabs>
          <w:tab w:val="clear" w:pos="708"/>
          <w:tab w:val="left" w:pos="3585" w:leader="none"/>
        </w:tabs>
        <w:ind w:left="0" w:right="0" w:hanging="0"/>
        <w:jc w:val="both"/>
        <w:rPr/>
      </w:pPr>
      <w:r>
        <w:rPr/>
        <w:tab/>
      </w:r>
    </w:p>
    <w:p>
      <w:pPr>
        <w:pStyle w:val="Normal"/>
        <w:ind w:left="426" w:right="0" w:hanging="0"/>
        <w:jc w:val="both"/>
        <w:rPr/>
      </w:pPr>
      <w:r>
        <w:rPr/>
        <w:t xml:space="preserve">La </w:t>
      </w:r>
      <w:r>
        <w:rPr>
          <w:b/>
          <w:bCs/>
        </w:rPr>
        <w:t xml:space="preserve">commission d’admission </w:t>
      </w:r>
      <w:r>
        <w:rPr/>
        <w:t>sera composée :</w:t>
      </w:r>
    </w:p>
    <w:p>
      <w:pPr>
        <w:pStyle w:val="Normal"/>
        <w:ind w:left="426" w:right="0" w:hanging="0"/>
        <w:jc w:val="both"/>
        <w:rPr/>
      </w:pPr>
      <w:r>
        <w:rPr/>
      </w:r>
    </w:p>
    <w:p>
      <w:pPr>
        <w:pStyle w:val="Normal"/>
        <w:numPr>
          <w:ilvl w:val="1"/>
          <w:numId w:val="11"/>
        </w:numPr>
        <w:ind w:left="1440" w:right="0" w:hanging="360"/>
        <w:jc w:val="both"/>
        <w:rPr/>
      </w:pPr>
      <w:r>
        <w:rPr/>
        <w:t>d’un représentant bénévole de l’association gestionnaire,</w:t>
      </w:r>
    </w:p>
    <w:p>
      <w:pPr>
        <w:pStyle w:val="Normal"/>
        <w:numPr>
          <w:ilvl w:val="1"/>
          <w:numId w:val="11"/>
        </w:numPr>
        <w:ind w:left="1440" w:right="0" w:hanging="360"/>
        <w:jc w:val="both"/>
        <w:rPr/>
      </w:pPr>
      <w:r>
        <w:rPr/>
        <w:t>d’un représentant de la direction professionnelle de l’association gestionnaire,</w:t>
      </w:r>
    </w:p>
    <w:p>
      <w:pPr>
        <w:pStyle w:val="Normal"/>
        <w:numPr>
          <w:ilvl w:val="1"/>
          <w:numId w:val="11"/>
        </w:numPr>
        <w:ind w:left="1440" w:right="0" w:hanging="360"/>
        <w:jc w:val="both"/>
        <w:rPr/>
      </w:pPr>
      <w:r>
        <w:rPr/>
        <w:t>d’un membre de l’équipe d’accompagnement attachée à la résidence,</w:t>
      </w:r>
    </w:p>
    <w:p>
      <w:pPr>
        <w:pStyle w:val="Normal"/>
        <w:numPr>
          <w:ilvl w:val="1"/>
          <w:numId w:val="11"/>
        </w:numPr>
        <w:ind w:left="1440" w:right="0" w:hanging="360"/>
        <w:jc w:val="both"/>
        <w:rPr/>
      </w:pPr>
      <w:r>
        <w:rPr/>
        <w:t>d’un membre médical du secteur de psychiatrie ou son représentant,</w:t>
      </w:r>
    </w:p>
    <w:p>
      <w:pPr>
        <w:pStyle w:val="Normal"/>
        <w:numPr>
          <w:ilvl w:val="1"/>
          <w:numId w:val="11"/>
        </w:numPr>
        <w:ind w:left="1440" w:right="0" w:hanging="360"/>
        <w:jc w:val="both"/>
        <w:rPr/>
      </w:pPr>
      <w:r>
        <w:rPr/>
        <w:t>d’un représentant de la ville,</w:t>
      </w:r>
    </w:p>
    <w:p>
      <w:pPr>
        <w:pStyle w:val="Normal"/>
        <w:numPr>
          <w:ilvl w:val="1"/>
          <w:numId w:val="11"/>
        </w:numPr>
        <w:ind w:left="1440" w:right="0" w:hanging="360"/>
        <w:jc w:val="both"/>
        <w:rPr/>
      </w:pPr>
      <w:r>
        <w:rPr/>
        <w:t>d’un représentant du propriétaire de l’ouvrage,</w:t>
      </w:r>
    </w:p>
    <w:p>
      <w:pPr>
        <w:pStyle w:val="Normal"/>
        <w:numPr>
          <w:ilvl w:val="1"/>
          <w:numId w:val="11"/>
        </w:numPr>
        <w:ind w:left="1440" w:right="0" w:hanging="360"/>
        <w:jc w:val="both"/>
        <w:rPr/>
      </w:pPr>
      <w:r>
        <w:rPr/>
        <w:t xml:space="preserve">d’un représentant de la MDPH, </w:t>
      </w:r>
    </w:p>
    <w:p>
      <w:pPr>
        <w:pStyle w:val="Normal"/>
        <w:numPr>
          <w:ilvl w:val="1"/>
          <w:numId w:val="11"/>
        </w:numPr>
        <w:ind w:left="1440" w:right="0" w:hanging="360"/>
        <w:jc w:val="both"/>
        <w:rPr/>
      </w:pPr>
      <w:r>
        <w:rPr/>
        <w:t>d’un représentant des services de l’état.</w:t>
      </w:r>
    </w:p>
    <w:p>
      <w:pPr>
        <w:pStyle w:val="Normal"/>
        <w:ind w:left="0" w:right="0" w:hanging="0"/>
        <w:jc w:val="both"/>
        <w:rPr/>
      </w:pPr>
      <w:r>
        <w:rPr/>
      </w:r>
    </w:p>
    <w:p>
      <w:pPr>
        <w:pStyle w:val="Normal"/>
        <w:ind w:left="426" w:right="0" w:hanging="0"/>
        <w:jc w:val="both"/>
        <w:rPr/>
      </w:pPr>
      <w:r>
        <w:rPr/>
        <w:t xml:space="preserve">Une demande écrite sera adressée à l’association </w:t>
      </w:r>
      <w:r>
        <w:rPr>
          <w:b/>
          <w:i/>
        </w:rPr>
        <w:t>espérance hauts de seine</w:t>
      </w:r>
      <w:r>
        <w:rPr/>
        <w:t>, par l’intéressé ou quelqu’un qu’il désignera comme représentant ses intérêts pour la situation de la personne, son histoire médicale (sous pli cacheté à l’intention du médecin du secteur et du SAMSAH), la situation de soins et d’accompagnement actuelle. Un dossier rempli complétera les informations administratives et la situation financière.</w:t>
      </w:r>
    </w:p>
    <w:p>
      <w:pPr>
        <w:pStyle w:val="Normal"/>
        <w:ind w:right="0" w:hanging="0"/>
        <w:jc w:val="both"/>
        <w:rPr/>
      </w:pPr>
      <w:r>
        <w:rPr/>
      </w:r>
    </w:p>
    <w:p>
      <w:pPr>
        <w:pStyle w:val="Normal"/>
        <w:ind w:left="426" w:right="0" w:hanging="0"/>
        <w:jc w:val="both"/>
        <w:rPr/>
      </w:pPr>
      <w:r>
        <w:rPr/>
        <w:t>L’examen de la candidature et la réponse donnée par la commission ne devront pas dépasser un délai de 2 mois après la réception du courrier de demande d’intégration d’un logement à la résidence-accueil.</w:t>
      </w:r>
    </w:p>
    <w:p>
      <w:pPr>
        <w:pStyle w:val="Normal"/>
        <w:ind w:left="0" w:right="0" w:hanging="0"/>
        <w:jc w:val="both"/>
        <w:rPr/>
      </w:pPr>
      <w:r>
        <w:rPr/>
      </w:r>
    </w:p>
    <w:p>
      <w:pPr>
        <w:pStyle w:val="Normal"/>
        <w:ind w:left="426" w:right="0" w:hanging="0"/>
        <w:jc w:val="both"/>
        <w:rPr/>
      </w:pPr>
      <w:r>
        <w:rPr/>
        <w:t>Les modalités d’admission à la résidence-accueil consisteront en différents entretiens, en la visite du logement et de la résidence et d’un temps de convivialité favorisant les échanges avec le personnel et les locataires, tel un repas par exemple.</w:t>
      </w:r>
    </w:p>
    <w:p>
      <w:pPr>
        <w:pStyle w:val="Normal"/>
        <w:ind w:left="426" w:right="0" w:hanging="0"/>
        <w:jc w:val="both"/>
        <w:rPr/>
      </w:pPr>
      <w:r>
        <w:rPr/>
        <w:t>Tout interlocuteur utile à la compréhension de la situation et qui conservera le secret des situations abordées sera bienvenu.</w:t>
      </w:r>
    </w:p>
    <w:p>
      <w:pPr>
        <w:pStyle w:val="Normal"/>
        <w:ind w:left="0" w:right="0" w:hanging="0"/>
        <w:rPr>
          <w:b/>
          <w:b/>
          <w:bCs/>
        </w:rPr>
      </w:pPr>
      <w:r>
        <w:rPr>
          <w:b/>
          <w:bCs/>
        </w:rPr>
      </w:r>
    </w:p>
    <w:p>
      <w:pPr>
        <w:pStyle w:val="Normal"/>
        <w:ind w:left="426" w:right="0" w:hanging="0"/>
        <w:jc w:val="both"/>
        <w:rPr/>
      </w:pPr>
      <w:r>
        <w:rPr/>
        <w:t>Conformément aux textes de la circulaire et annexes, la durée du bail est d’un mois, renouvelée par tacite reconduction.</w:t>
      </w:r>
    </w:p>
    <w:p>
      <w:pPr>
        <w:pStyle w:val="Normal"/>
        <w:ind w:left="426" w:right="0" w:hanging="0"/>
        <w:jc w:val="both"/>
        <w:rPr/>
      </w:pPr>
      <w:r>
        <w:rPr/>
      </w:r>
    </w:p>
    <w:p>
      <w:pPr>
        <w:pStyle w:val="Normal"/>
        <w:ind w:left="426" w:right="0" w:hanging="0"/>
        <w:jc w:val="both"/>
        <w:rPr>
          <w:b/>
          <w:b/>
          <w:bCs/>
        </w:rPr>
      </w:pPr>
      <w:r>
        <w:rPr>
          <w:b/>
          <w:bCs/>
        </w:rPr>
        <w:t xml:space="preserve">Il n’est pas prévu de limite à la durée de l’accueil dans la résidence. </w:t>
      </w:r>
    </w:p>
    <w:p>
      <w:pPr>
        <w:pStyle w:val="Normal"/>
        <w:ind w:left="426" w:right="0" w:hanging="0"/>
        <w:jc w:val="both"/>
        <w:rPr>
          <w:b/>
          <w:b/>
          <w:bCs/>
        </w:rPr>
      </w:pPr>
      <w:r>
        <w:rPr>
          <w:b/>
          <w:bCs/>
        </w:rPr>
      </w:r>
    </w:p>
    <w:p>
      <w:pPr>
        <w:pStyle w:val="Normal"/>
        <w:ind w:left="426" w:right="0" w:hanging="0"/>
        <w:jc w:val="both"/>
        <w:rPr/>
      </w:pPr>
      <w:r>
        <w:rPr/>
        <w:t>Toutefois, si l’association gestionnaire n’était plus en mesure d’assurer le logement des locataires de la résidence pour cause de force majeure (tel un sinistre, par exemple), elle mettrait tous ses moyens en œuvre pour assurer le relogement provisoire ou définitif des résidents et garantir leur suivi médico-social.</w:t>
      </w:r>
    </w:p>
    <w:p>
      <w:pPr>
        <w:pStyle w:val="Normal"/>
        <w:ind w:left="426" w:right="0" w:hanging="0"/>
        <w:jc w:val="both"/>
        <w:rPr/>
      </w:pPr>
      <w:r>
        <w:rPr/>
      </w:r>
    </w:p>
    <w:p>
      <w:pPr>
        <w:pStyle w:val="Corpsdetexte"/>
        <w:ind w:left="426" w:right="0" w:hanging="0"/>
        <w:rPr/>
      </w:pPr>
      <w:r>
        <w:rPr/>
        <w:t xml:space="preserve">Par ailleurs, lors de manquements graves ou répétés, en particulier lorsque le comportement d’un résidant menacerait l’intégrité physique ou morale des autres locataires, en cas de nuisances de voisinage ou de comportements délictueux, l’association gestionnaire se réserve le droit de résilier le contrat de location selon les termes figurant au règlement intérieur et au contrat d’occupation.      </w:t>
      </w:r>
    </w:p>
    <w:p>
      <w:pPr>
        <w:pStyle w:val="Corpsdetexte"/>
        <w:ind w:left="0" w:right="0" w:hanging="0"/>
        <w:rPr/>
      </w:pPr>
      <w:r>
        <w:rPr/>
      </w:r>
    </w:p>
    <w:p>
      <w:pPr>
        <w:pStyle w:val="Corpsdetexte"/>
        <w:ind w:left="0" w:right="0" w:hanging="0"/>
        <w:rPr/>
      </w:pPr>
      <w:r>
        <w:rPr/>
      </w:r>
    </w:p>
    <w:p>
      <w:pPr>
        <w:pStyle w:val="Titre4"/>
        <w:ind w:right="0" w:hanging="0"/>
        <w:rPr/>
      </w:pPr>
      <w:r>
        <w:rPr/>
      </w:r>
    </w:p>
    <w:p>
      <w:pPr>
        <w:pStyle w:val="Titre4"/>
        <w:numPr>
          <w:ilvl w:val="0"/>
          <w:numId w:val="20"/>
        </w:numPr>
        <w:ind w:left="1200" w:right="0" w:hanging="360"/>
        <w:rPr/>
      </w:pPr>
      <w:r>
        <w:rPr/>
        <w:t>L’évolution de la situation sociale des résidents</w:t>
      </w:r>
    </w:p>
    <w:p>
      <w:pPr>
        <w:pStyle w:val="Normal"/>
        <w:ind w:left="426" w:right="0" w:hanging="0"/>
        <w:rPr/>
      </w:pPr>
      <w:r>
        <w:rPr/>
      </w:r>
    </w:p>
    <w:p>
      <w:pPr>
        <w:pStyle w:val="Normal"/>
        <w:ind w:left="426" w:right="0" w:hanging="0"/>
        <w:jc w:val="both"/>
        <w:rPr/>
      </w:pPr>
      <w:r>
        <w:rPr/>
        <w:t>Tout sera mis en œuvre pour que les résidents qui en seront capables et qui le souhaiteront puissent être soutenus dans leur recherche de logement personnel et accompagnés une fois celui-ci obtenu.</w:t>
      </w:r>
    </w:p>
    <w:p>
      <w:pPr>
        <w:pStyle w:val="Normal"/>
        <w:ind w:left="1560" w:right="0" w:hanging="567"/>
        <w:jc w:val="both"/>
        <w:rPr/>
      </w:pPr>
      <w:r>
        <w:rPr/>
      </w:r>
    </w:p>
    <w:p>
      <w:pPr>
        <w:pStyle w:val="Normal"/>
        <w:numPr>
          <w:ilvl w:val="1"/>
          <w:numId w:val="13"/>
        </w:numPr>
        <w:ind w:left="1440" w:right="0" w:hanging="360"/>
        <w:jc w:val="both"/>
        <w:rPr/>
      </w:pPr>
      <w:r>
        <w:rPr/>
        <w:t>par un soutien aux démarches de logement,</w:t>
      </w:r>
    </w:p>
    <w:p>
      <w:pPr>
        <w:pStyle w:val="Normal"/>
        <w:numPr>
          <w:ilvl w:val="1"/>
          <w:numId w:val="13"/>
        </w:numPr>
        <w:ind w:left="1440" w:right="0" w:hanging="360"/>
        <w:jc w:val="both"/>
        <w:rPr/>
      </w:pPr>
      <w:r>
        <w:rPr/>
        <w:t>par une préparation et une aide directe et concrète au changement de logement,</w:t>
      </w:r>
    </w:p>
    <w:p>
      <w:pPr>
        <w:pStyle w:val="Normal"/>
        <w:numPr>
          <w:ilvl w:val="1"/>
          <w:numId w:val="13"/>
        </w:numPr>
        <w:ind w:left="1440" w:right="0" w:hanging="360"/>
        <w:jc w:val="both"/>
        <w:rPr/>
      </w:pPr>
      <w:r>
        <w:rPr/>
        <w:t>par le maintien d’un soutien médico-social dans le nouvel habitat.</w:t>
      </w:r>
    </w:p>
    <w:p>
      <w:pPr>
        <w:pStyle w:val="Normal"/>
        <w:ind w:left="1276" w:right="0" w:hanging="0"/>
        <w:jc w:val="both"/>
        <w:rPr/>
      </w:pPr>
      <w:r>
        <w:rPr/>
      </w:r>
    </w:p>
    <w:p>
      <w:pPr>
        <w:pStyle w:val="Normal"/>
        <w:ind w:left="426" w:right="0" w:hanging="0"/>
        <w:jc w:val="both"/>
        <w:rPr/>
      </w:pPr>
      <w:r>
        <w:rPr/>
        <w:t>Dans l’hypothèse où un résidant viendrait à ne pas s’adapter ou se plaire dans son logement de la résidence, il ferait l’objet de la plus grande attention pour que lui soit facilité la recherche d’une nouvelle solution qui lui convienne, y compris le retour à la résidence-accueil si une place était ou redevenait vacante.</w:t>
      </w:r>
    </w:p>
    <w:p>
      <w:pPr>
        <w:pStyle w:val="Normal"/>
        <w:ind w:left="426" w:right="0" w:hanging="0"/>
        <w:jc w:val="both"/>
        <w:rPr/>
      </w:pPr>
      <w:r>
        <w:rPr/>
        <w:t>Dans tous les cas, ces soutiens s’exerceront après une concertation effective des partenaires engagés auprès du résident.</w:t>
      </w:r>
    </w:p>
    <w:p>
      <w:pPr>
        <w:pStyle w:val="Normal"/>
        <w:ind w:left="426" w:right="0" w:hanging="0"/>
        <w:jc w:val="both"/>
        <w:rPr/>
      </w:pPr>
      <w:r>
        <w:rPr/>
      </w:r>
    </w:p>
    <w:p>
      <w:pPr>
        <w:pStyle w:val="Normal"/>
        <w:spacing w:lineRule="auto" w:line="276" w:before="0" w:after="200"/>
        <w:rPr>
          <w:b/>
          <w:b/>
        </w:rPr>
      </w:pPr>
      <w:r>
        <w:rPr>
          <w:b/>
        </w:rPr>
      </w:r>
      <w:r>
        <w:br w:type="page"/>
      </w:r>
    </w:p>
    <w:p>
      <w:pPr>
        <w:pStyle w:val="Corpsdetexte"/>
        <w:numPr>
          <w:ilvl w:val="0"/>
          <w:numId w:val="18"/>
        </w:numPr>
        <w:ind w:left="720" w:right="0" w:hanging="360"/>
        <w:jc w:val="left"/>
        <w:rPr>
          <w:b/>
          <w:b/>
        </w:rPr>
      </w:pPr>
      <w:r>
        <w:rPr>
          <w:b/>
        </w:rPr>
        <w:t xml:space="preserve">ÉTUDE DU PROGRAMME DE LA STRUCTURE </w:t>
      </w:r>
    </w:p>
    <w:p>
      <w:pPr>
        <w:pStyle w:val="Normal"/>
        <w:ind w:right="0" w:hanging="0"/>
        <w:jc w:val="both"/>
        <w:rPr/>
      </w:pPr>
      <w:r>
        <w:rPr/>
      </w:r>
    </w:p>
    <w:p>
      <w:pPr>
        <w:pStyle w:val="Normal"/>
        <w:ind w:right="0" w:hanging="0"/>
        <w:jc w:val="both"/>
        <w:rPr/>
      </w:pPr>
      <w:r>
        <w:rPr/>
      </w:r>
    </w:p>
    <w:p>
      <w:pPr>
        <w:pStyle w:val="Normal"/>
        <w:ind w:left="426" w:right="0" w:hanging="0"/>
        <w:jc w:val="both"/>
        <w:rPr/>
      </w:pPr>
      <w:r>
        <w:rPr/>
        <w:t>Les locaux de la résidence se situent dans un immeuble de 7 étages, dont 2 sont occupés par le CCAS et l’association l’ESCALE.</w:t>
      </w:r>
    </w:p>
    <w:p>
      <w:pPr>
        <w:pStyle w:val="Normal"/>
        <w:ind w:left="426" w:right="0" w:hanging="0"/>
        <w:jc w:val="both"/>
        <w:rPr/>
      </w:pPr>
      <w:r>
        <w:rPr/>
      </w:r>
    </w:p>
    <w:p>
      <w:pPr>
        <w:pStyle w:val="Normal"/>
        <w:ind w:left="426" w:right="0" w:hanging="0"/>
        <w:jc w:val="both"/>
        <w:rPr/>
      </w:pPr>
      <w:r>
        <w:rPr>
          <w:b/>
          <w:i/>
        </w:rPr>
        <w:t>Espérance hauts de seine</w:t>
      </w:r>
      <w:r>
        <w:rPr/>
        <w:t xml:space="preserve"> verse à hauts de seine habitat le remboursement du loyer de et des charges récupérables. </w:t>
      </w:r>
    </w:p>
    <w:p>
      <w:pPr>
        <w:pStyle w:val="Normal"/>
        <w:ind w:left="426" w:right="0" w:hanging="0"/>
        <w:jc w:val="both"/>
        <w:rPr/>
      </w:pPr>
      <w:r>
        <w:rPr/>
      </w:r>
    </w:p>
    <w:p>
      <w:pPr>
        <w:pStyle w:val="Normal"/>
        <w:tabs>
          <w:tab w:val="clear" w:pos="708"/>
          <w:tab w:val="left" w:pos="142" w:leader="none"/>
        </w:tabs>
        <w:ind w:left="426" w:right="0" w:hanging="0"/>
        <w:jc w:val="both"/>
        <w:rPr/>
      </w:pPr>
      <w:r>
        <w:rPr/>
        <w:t>La redevance maximum fixée par l’état exigible auprès des locataires de la résidence-accueil finance la location.</w:t>
      </w:r>
    </w:p>
    <w:p>
      <w:pPr>
        <w:pStyle w:val="Normal"/>
        <w:ind w:left="426" w:right="0" w:hanging="0"/>
        <w:jc w:val="both"/>
        <w:rPr/>
      </w:pPr>
      <w:r>
        <w:rPr/>
      </w:r>
    </w:p>
    <w:p>
      <w:pPr>
        <w:pStyle w:val="Normal"/>
        <w:ind w:left="426" w:right="0" w:hanging="0"/>
        <w:jc w:val="both"/>
        <w:rPr/>
      </w:pPr>
      <w:r>
        <w:rPr/>
        <w:t>Les dépenses de fonctionnement  (petit équipement, animation…) et les dépenses afférentes aux charges de salaire du personnel sont financées par la DRIHL sous forme de subvention réglementée (forfait journalier par personne) par la circulaire régissant les résidences accueil.</w:t>
      </w:r>
    </w:p>
    <w:p>
      <w:pPr>
        <w:pStyle w:val="Normal"/>
        <w:ind w:left="426" w:right="0" w:hanging="0"/>
        <w:jc w:val="both"/>
        <w:rPr>
          <w:color w:val="FF0000"/>
        </w:rPr>
      </w:pPr>
      <w:r>
        <w:rPr>
          <w:color w:val="FF0000"/>
        </w:rPr>
      </w:r>
    </w:p>
    <w:p>
      <w:pPr>
        <w:pStyle w:val="Normal"/>
        <w:ind w:left="426" w:right="0" w:hanging="0"/>
        <w:jc w:val="both"/>
        <w:rPr/>
      </w:pPr>
      <w:r>
        <w:rPr/>
        <w:t>De plus, le Conseil Départemental et l’Agence Régionale de Santé ont accordé une autorisation d’extension de 15 places supplémentaires pour le SAMSAH pour lesquelles les formalités sont en cours. Il s’agit d’une décision très importante pour la nouvelle résidence-accueil qui bénéficie de l’intervention individualisée des services d’accompagnement existants de l’association (SAVS, 52 places, SAMSAH 50 places et prochainement 65 places).</w:t>
      </w:r>
    </w:p>
    <w:p>
      <w:pPr>
        <w:pStyle w:val="ListParagraph"/>
        <w:ind w:left="426" w:right="0" w:hanging="0"/>
        <w:jc w:val="both"/>
        <w:rPr/>
      </w:pPr>
      <w:r>
        <w:rPr/>
      </w:r>
    </w:p>
    <w:p>
      <w:pPr>
        <w:pStyle w:val="Titre1"/>
        <w:ind w:left="426" w:right="0" w:hanging="0"/>
        <w:rPr>
          <w:b w:val="false"/>
          <w:b w:val="false"/>
          <w:bCs w:val="false"/>
        </w:rPr>
      </w:pPr>
      <w:r>
        <w:rPr>
          <w:b w:val="false"/>
          <w:bCs w:val="false"/>
        </w:rPr>
      </w:r>
    </w:p>
    <w:p>
      <w:pPr>
        <w:pStyle w:val="Corpsdetexte"/>
        <w:numPr>
          <w:ilvl w:val="0"/>
          <w:numId w:val="18"/>
        </w:numPr>
        <w:ind w:left="720" w:right="0" w:hanging="360"/>
        <w:jc w:val="left"/>
        <w:rPr>
          <w:b/>
          <w:b/>
        </w:rPr>
      </w:pPr>
      <w:r>
        <w:rPr>
          <w:b/>
        </w:rPr>
        <w:t xml:space="preserve"> </w:t>
      </w:r>
      <w:r>
        <w:rPr>
          <w:b/>
        </w:rPr>
        <w:t>LA SITUATION IMMOBILIERE DE LA RESIDENCE ACCUEIL</w:t>
      </w:r>
    </w:p>
    <w:p>
      <w:pPr>
        <w:pStyle w:val="Normal"/>
        <w:ind w:left="426" w:right="0" w:hanging="0"/>
        <w:jc w:val="both"/>
        <w:rPr/>
      </w:pPr>
      <w:r>
        <w:rPr/>
      </w:r>
    </w:p>
    <w:p>
      <w:pPr>
        <w:pStyle w:val="Normal"/>
        <w:ind w:left="426" w:right="0" w:hanging="0"/>
        <w:jc w:val="both"/>
        <w:rPr/>
      </w:pPr>
      <w:r>
        <w:rPr/>
        <w:t>L’immeuble de 6 étages est une construction des années 90.</w:t>
      </w:r>
    </w:p>
    <w:p>
      <w:pPr>
        <w:pStyle w:val="Normal"/>
        <w:ind w:left="426" w:right="0" w:hanging="0"/>
        <w:jc w:val="both"/>
        <w:rPr/>
      </w:pPr>
      <w:r>
        <w:rPr/>
      </w:r>
    </w:p>
    <w:p>
      <w:pPr>
        <w:pStyle w:val="Normal"/>
        <w:ind w:left="426" w:right="0" w:hanging="0"/>
        <w:jc w:val="both"/>
        <w:rPr/>
      </w:pPr>
      <w:r>
        <w:rPr/>
        <w:t>Chaque étage accueille 6 ou 7 logements.</w:t>
      </w:r>
    </w:p>
    <w:p>
      <w:pPr>
        <w:pStyle w:val="Normal"/>
        <w:ind w:left="426" w:right="0" w:hanging="0"/>
        <w:jc w:val="both"/>
        <w:rPr/>
      </w:pPr>
      <w:r>
        <w:rPr/>
      </w:r>
    </w:p>
    <w:p>
      <w:pPr>
        <w:pStyle w:val="Normal"/>
        <w:ind w:left="426" w:right="0" w:hanging="0"/>
        <w:jc w:val="both"/>
        <w:rPr/>
      </w:pPr>
      <w:r>
        <w:rPr/>
        <w:t xml:space="preserve">L’une des originalités du projet est la cohabitation dans le même immeuble de public aux problématiques différentes : aux 2 derniers étages sont accueillis des femmes en difficultés ainsi que des familles en précarité sociale. </w:t>
      </w:r>
    </w:p>
    <w:p>
      <w:pPr>
        <w:pStyle w:val="Normal"/>
        <w:ind w:left="426" w:right="0" w:hanging="0"/>
        <w:jc w:val="both"/>
        <w:rPr/>
      </w:pPr>
      <w:r>
        <w:rPr/>
      </w:r>
    </w:p>
    <w:p>
      <w:pPr>
        <w:pStyle w:val="Normal"/>
        <w:ind w:left="426" w:right="0" w:hanging="0"/>
        <w:jc w:val="both"/>
        <w:rPr/>
      </w:pPr>
      <w:r>
        <w:rPr/>
        <w:t>La rencontre avec les acteurs sociaux accompagnant ces publics permettra d’envisager un partage d’activité ou la mutualisation de moyens comme l’espace laverie, par exemple, ou encore les salles d’activités.</w:t>
      </w:r>
    </w:p>
    <w:p>
      <w:pPr>
        <w:pStyle w:val="Normal"/>
        <w:ind w:left="426" w:right="0" w:hanging="0"/>
        <w:jc w:val="both"/>
        <w:rPr/>
      </w:pPr>
      <w:r>
        <w:rPr/>
      </w:r>
    </w:p>
    <w:p>
      <w:pPr>
        <w:pStyle w:val="Normal"/>
        <w:ind w:left="426" w:right="0" w:hanging="0"/>
        <w:jc w:val="both"/>
        <w:rPr/>
      </w:pPr>
      <w:r>
        <w:rPr/>
        <w:t>La partie louée comporte 21 logements dont la superficie va de 23,38 m² pour le plus petit à 48 m² pour les plus grands.</w:t>
      </w:r>
    </w:p>
    <w:p>
      <w:pPr>
        <w:pStyle w:val="Normal"/>
        <w:ind w:left="426" w:right="0" w:hanging="0"/>
        <w:jc w:val="both"/>
        <w:rPr/>
      </w:pPr>
      <w:r>
        <w:rPr/>
      </w:r>
    </w:p>
    <w:p>
      <w:pPr>
        <w:pStyle w:val="Normal"/>
        <w:ind w:left="426" w:right="0" w:hanging="0"/>
        <w:jc w:val="both"/>
        <w:rPr/>
      </w:pPr>
      <w:r>
        <w:rPr/>
        <w:t>Au 2</w:t>
      </w:r>
      <w:r>
        <w:rPr>
          <w:vertAlign w:val="superscript"/>
        </w:rPr>
        <w:t>ème</w:t>
      </w:r>
      <w:r>
        <w:rPr/>
        <w:t xml:space="preserve"> et 3</w:t>
      </w:r>
      <w:r>
        <w:rPr>
          <w:vertAlign w:val="superscript"/>
        </w:rPr>
        <w:t>ème</w:t>
      </w:r>
      <w:r>
        <w:rPr/>
        <w:t xml:space="preserve"> et 4</w:t>
      </w:r>
      <w:r>
        <w:rPr>
          <w:vertAlign w:val="superscript"/>
        </w:rPr>
        <w:t>ème</w:t>
      </w:r>
      <w:r>
        <w:rPr/>
        <w:t xml:space="preserve"> étage, les logements les plus spacieux sont proposés à des couples. Dans la mesure où ces places ne seraient pas durablement pourvues, elles seraient proposées en logement partagé à  deux résidents après travaux de cloisonnement d’un séjour (22 m²) délimitant une chambre supérieure à 9 m² et un petit séjour. Cette configuration peut convenir harmonieusement à des personnes dont la situation psychique reste particulièrement fragile et dont le partage d’un logement leur permettrait des étayages réciproques.</w:t>
      </w:r>
    </w:p>
    <w:p>
      <w:pPr>
        <w:pStyle w:val="Normal"/>
        <w:ind w:left="426" w:right="0" w:hanging="0"/>
        <w:jc w:val="both"/>
        <w:rPr/>
      </w:pPr>
      <w:r>
        <w:rPr/>
      </w:r>
    </w:p>
    <w:p>
      <w:pPr>
        <w:pStyle w:val="Normal"/>
        <w:ind w:left="426" w:right="0" w:hanging="0"/>
        <w:jc w:val="both"/>
        <w:rPr/>
      </w:pPr>
      <w:r>
        <w:rPr/>
        <w:t>L’un des autres F2 sera réservé à l’un des hôtes ou, si son recrutement s’avérait particulièrement difficile à un surveillant de nuit pour assurer une présence et une surveillance en terme de sureté (contrôle des entrées et sorties par vidéo) et de sécurité.</w:t>
      </w:r>
    </w:p>
    <w:p>
      <w:pPr>
        <w:pStyle w:val="Normal"/>
        <w:ind w:right="0" w:hanging="0"/>
        <w:jc w:val="both"/>
        <w:rPr/>
      </w:pPr>
      <w:r>
        <w:rPr/>
      </w:r>
    </w:p>
    <w:p>
      <w:pPr>
        <w:pStyle w:val="Normal"/>
        <w:ind w:left="426" w:right="0" w:hanging="0"/>
        <w:jc w:val="both"/>
        <w:rPr/>
      </w:pPr>
      <w:r>
        <w:rPr/>
        <w:t>Le rez-de-chaussée comprend :</w:t>
      </w:r>
    </w:p>
    <w:p>
      <w:pPr>
        <w:pStyle w:val="Normal"/>
        <w:numPr>
          <w:ilvl w:val="1"/>
          <w:numId w:val="14"/>
        </w:numPr>
        <w:ind w:left="1080" w:right="0" w:hanging="360"/>
        <w:jc w:val="both"/>
        <w:rPr/>
      </w:pPr>
      <w:r>
        <w:rPr/>
        <w:t xml:space="preserve">2 logements accessibles aux personnes handicapées, </w:t>
      </w:r>
    </w:p>
    <w:p>
      <w:pPr>
        <w:pStyle w:val="Normal"/>
        <w:numPr>
          <w:ilvl w:val="1"/>
          <w:numId w:val="14"/>
        </w:numPr>
        <w:ind w:left="1080" w:right="0" w:hanging="360"/>
        <w:jc w:val="both"/>
        <w:rPr/>
      </w:pPr>
      <w:r>
        <w:rPr/>
        <w:t xml:space="preserve">un hall d’entrée </w:t>
      </w:r>
    </w:p>
    <w:p>
      <w:pPr>
        <w:pStyle w:val="Normal"/>
        <w:numPr>
          <w:ilvl w:val="1"/>
          <w:numId w:val="14"/>
        </w:numPr>
        <w:ind w:left="1080" w:right="0" w:hanging="360"/>
        <w:jc w:val="both"/>
        <w:rPr/>
      </w:pPr>
      <w:r>
        <w:rPr/>
        <w:t>un bureau de 31,25  m². Ce bureau sera utilisé par les hôtes pour les accueils et des échanges courants avec les résidents et permettra l’exercice d’une vigilance sur le contrôle des entrées et sorties.</w:t>
      </w:r>
    </w:p>
    <w:p>
      <w:pPr>
        <w:pStyle w:val="Normal"/>
        <w:numPr>
          <w:ilvl w:val="1"/>
          <w:numId w:val="14"/>
        </w:numPr>
        <w:ind w:left="1080" w:right="0" w:hanging="360"/>
        <w:jc w:val="both"/>
        <w:rPr/>
      </w:pPr>
      <w:r>
        <w:rPr/>
        <w:t>un second bureau. Ce bureau sera mis à la disposition des intervenants (SAMSAH, SAVS, délégués à la protection des majeurs, soignants…) pour des échanges avec les résidents lorsqu’il n’est pas souhaitable qu’ils aient lieu au domicile des personnes.</w:t>
      </w:r>
    </w:p>
    <w:p>
      <w:pPr>
        <w:pStyle w:val="Normal"/>
        <w:numPr>
          <w:ilvl w:val="1"/>
          <w:numId w:val="14"/>
        </w:numPr>
        <w:ind w:left="1080" w:right="0" w:hanging="360"/>
        <w:jc w:val="both"/>
        <w:rPr/>
      </w:pPr>
      <w:r>
        <w:rPr/>
        <w:t>un local d’archive et une petite dépendance</w:t>
      </w:r>
    </w:p>
    <w:p>
      <w:pPr>
        <w:pStyle w:val="Normal"/>
        <w:ind w:left="1428" w:right="0" w:hanging="0"/>
        <w:jc w:val="both"/>
        <w:rPr/>
      </w:pPr>
      <w:r>
        <w:rPr/>
      </w:r>
    </w:p>
    <w:p>
      <w:pPr>
        <w:pStyle w:val="Normal"/>
        <w:ind w:left="708" w:right="0" w:hanging="0"/>
        <w:jc w:val="both"/>
        <w:rPr/>
      </w:pPr>
      <w:r>
        <w:rPr/>
        <w:t>Le premier étage comprend :</w:t>
      </w:r>
    </w:p>
    <w:p>
      <w:pPr>
        <w:pStyle w:val="Normal"/>
        <w:numPr>
          <w:ilvl w:val="1"/>
          <w:numId w:val="15"/>
        </w:numPr>
        <w:ind w:left="1080" w:right="0" w:hanging="360"/>
        <w:jc w:val="both"/>
        <w:rPr/>
      </w:pPr>
      <w:r>
        <w:rPr/>
        <w:t xml:space="preserve">une salle commune d’une superficie de 67,54 m², </w:t>
      </w:r>
    </w:p>
    <w:p>
      <w:pPr>
        <w:pStyle w:val="Normal"/>
        <w:numPr>
          <w:ilvl w:val="1"/>
          <w:numId w:val="15"/>
        </w:numPr>
        <w:ind w:left="1080" w:right="0" w:hanging="360"/>
        <w:jc w:val="both"/>
        <w:rPr/>
      </w:pPr>
      <w:r>
        <w:rPr/>
        <w:t>des sanitaires accessibles aux personnes handicapées</w:t>
      </w:r>
    </w:p>
    <w:p>
      <w:pPr>
        <w:pStyle w:val="Normal"/>
        <w:numPr>
          <w:ilvl w:val="1"/>
          <w:numId w:val="15"/>
        </w:numPr>
        <w:ind w:left="1080" w:right="0" w:hanging="360"/>
        <w:jc w:val="both"/>
        <w:rPr/>
      </w:pPr>
      <w:r>
        <w:rPr/>
        <w:t>une laverie</w:t>
      </w:r>
    </w:p>
    <w:p>
      <w:pPr>
        <w:pStyle w:val="Normal"/>
        <w:ind w:left="720" w:right="0" w:hanging="0"/>
        <w:jc w:val="both"/>
        <w:rPr/>
      </w:pPr>
      <w:r>
        <w:rPr/>
      </w:r>
    </w:p>
    <w:p>
      <w:pPr>
        <w:pStyle w:val="Normal"/>
        <w:spacing w:lineRule="auto" w:line="276" w:before="0" w:after="200"/>
        <w:ind w:left="709" w:hanging="0"/>
        <w:rPr/>
      </w:pPr>
      <w:r>
        <w:rPr/>
        <w:t>Les logements, quels que soient leur surface et leur type possèdent :</w:t>
      </w:r>
    </w:p>
    <w:p>
      <w:pPr>
        <w:pStyle w:val="ListParagraph"/>
        <w:numPr>
          <w:ilvl w:val="1"/>
          <w:numId w:val="16"/>
        </w:numPr>
        <w:ind w:left="1080" w:right="0" w:hanging="360"/>
        <w:jc w:val="both"/>
        <w:rPr/>
      </w:pPr>
      <w:r>
        <w:rPr/>
        <w:t>une chambre</w:t>
      </w:r>
    </w:p>
    <w:p>
      <w:pPr>
        <w:pStyle w:val="ListParagraph"/>
        <w:numPr>
          <w:ilvl w:val="1"/>
          <w:numId w:val="16"/>
        </w:numPr>
        <w:ind w:left="1080" w:right="0" w:hanging="360"/>
        <w:jc w:val="both"/>
        <w:rPr/>
      </w:pPr>
      <w:r>
        <w:rPr/>
        <w:t>un séjour</w:t>
      </w:r>
    </w:p>
    <w:p>
      <w:pPr>
        <w:pStyle w:val="ListParagraph"/>
        <w:numPr>
          <w:ilvl w:val="1"/>
          <w:numId w:val="16"/>
        </w:numPr>
        <w:ind w:left="1080" w:right="0" w:hanging="360"/>
        <w:jc w:val="both"/>
        <w:rPr/>
      </w:pPr>
      <w:r>
        <w:rPr/>
        <w:t>une kitchenette ou cuisine intégrée dans le séjour équipée de plaques chauffantes, évier, frigo</w:t>
      </w:r>
    </w:p>
    <w:p>
      <w:pPr>
        <w:pStyle w:val="ListParagraph"/>
        <w:numPr>
          <w:ilvl w:val="1"/>
          <w:numId w:val="16"/>
        </w:numPr>
        <w:ind w:left="1080" w:right="0" w:hanging="360"/>
        <w:jc w:val="both"/>
        <w:rPr/>
      </w:pPr>
      <w:r>
        <w:rPr/>
        <w:t>d’une salle d’eau, WC, lavabo, douche</w:t>
      </w:r>
    </w:p>
    <w:p>
      <w:pPr>
        <w:pStyle w:val="ListParagraph"/>
        <w:numPr>
          <w:ilvl w:val="1"/>
          <w:numId w:val="16"/>
        </w:numPr>
        <w:ind w:left="1080" w:right="0" w:hanging="360"/>
        <w:jc w:val="both"/>
        <w:rPr/>
      </w:pPr>
      <w:r>
        <w:rPr/>
        <w:t>une entrée et selon disposition, un placard.</w:t>
      </w:r>
    </w:p>
    <w:p>
      <w:pPr>
        <w:pStyle w:val="Normal"/>
        <w:ind w:left="426" w:right="0" w:hanging="0"/>
        <w:jc w:val="both"/>
        <w:rPr/>
      </w:pPr>
      <w:r>
        <w:rPr/>
      </w:r>
    </w:p>
    <w:p>
      <w:pPr>
        <w:pStyle w:val="Normal"/>
        <w:ind w:left="426" w:right="0" w:hanging="0"/>
        <w:jc w:val="both"/>
        <w:rPr>
          <w:color w:val="FF0000"/>
        </w:rPr>
      </w:pPr>
      <w:r>
        <w:rPr/>
        <w:t>Le chauffage est collectif et inclus dans les charges.</w:t>
      </w:r>
    </w:p>
    <w:p>
      <w:pPr>
        <w:pStyle w:val="Normal"/>
        <w:ind w:left="426" w:right="0" w:hanging="0"/>
        <w:jc w:val="both"/>
        <w:rPr>
          <w:color w:val="FF0000"/>
        </w:rPr>
      </w:pPr>
      <w:r>
        <w:rPr>
          <w:color w:val="FF0000"/>
        </w:rPr>
      </w:r>
    </w:p>
    <w:p>
      <w:pPr>
        <w:pStyle w:val="Normal"/>
        <w:ind w:left="426" w:right="0" w:hanging="0"/>
        <w:jc w:val="both"/>
        <w:rPr/>
      </w:pPr>
      <w:r>
        <w:rPr>
          <w:b/>
          <w:bCs/>
        </w:rPr>
        <w:t>Les logements seront loués meublés et équipés.</w:t>
      </w:r>
      <w:r>
        <w:rPr/>
        <w:t xml:space="preserve"> Le mobilier et l’électroménager correspondront au nécessaire confortable d’un logement dont une cuisine qui recevra l’ensemble des fournitures (couverts, ustensiles, vaisselle etc.) habituellement pourvue.</w:t>
      </w:r>
    </w:p>
    <w:p>
      <w:pPr>
        <w:pStyle w:val="Normal"/>
        <w:ind w:left="426" w:right="0" w:hanging="0"/>
        <w:jc w:val="both"/>
        <w:rPr/>
      </w:pPr>
      <w:r>
        <w:rPr/>
        <w:t>Il s’agit par-là de permettre aux personnes à faibles ressources et sans apport de se loger immédiatement, mais aussi aux résidents de compléter leur mobilier et décoration pour personnaliser et s’approprier leur logement.</w:t>
      </w:r>
    </w:p>
    <w:p>
      <w:pPr>
        <w:pStyle w:val="Normal"/>
        <w:ind w:left="426" w:right="0" w:hanging="0"/>
        <w:jc w:val="both"/>
        <w:rPr/>
      </w:pPr>
      <w:r>
        <w:rPr/>
      </w:r>
    </w:p>
    <w:p>
      <w:pPr>
        <w:pStyle w:val="Normal"/>
        <w:ind w:left="426" w:right="0" w:hanging="0"/>
        <w:jc w:val="both"/>
        <w:rPr/>
      </w:pPr>
      <w:r>
        <w:rPr/>
      </w:r>
    </w:p>
    <w:p>
      <w:pPr>
        <w:pStyle w:val="Normal"/>
        <w:ind w:right="0" w:hanging="0"/>
        <w:jc w:val="both"/>
        <w:rPr/>
      </w:pPr>
      <w:r>
        <w:rPr/>
        <mc:AlternateContent>
          <mc:Choice Requires="wps">
            <w:drawing>
              <wp:anchor behindDoc="0" distT="0" distB="0" distL="89535" distR="89535" simplePos="0" locked="0" layoutInCell="1" allowOverlap="1" relativeHeight="65">
                <wp:simplePos x="0" y="0"/>
                <wp:positionH relativeFrom="margin">
                  <wp:align>center</wp:align>
                </wp:positionH>
                <wp:positionV relativeFrom="paragraph">
                  <wp:posOffset>635</wp:posOffset>
                </wp:positionV>
                <wp:extent cx="4712335" cy="2005330"/>
                <wp:effectExtent l="0" t="0" r="0" b="0"/>
                <wp:wrapSquare wrapText="bothSides"/>
                <wp:docPr id="4" name="Cadre2"/>
                <a:graphic xmlns:a="http://schemas.openxmlformats.org/drawingml/2006/main">
                  <a:graphicData uri="http://schemas.microsoft.com/office/word/2010/wordprocessingShape">
                    <wps:wsp>
                      <wps:cNvSpPr/>
                      <wps:spPr>
                        <a:xfrm>
                          <a:off x="0" y="0"/>
                          <a:ext cx="4711680" cy="2004840"/>
                        </a:xfrm>
                        <a:prstGeom prst="rect">
                          <a:avLst/>
                        </a:prstGeom>
                        <a:noFill/>
                        <a:ln>
                          <a:noFill/>
                        </a:ln>
                      </wps:spPr>
                      <wps:style>
                        <a:lnRef idx="0"/>
                        <a:fillRef idx="0"/>
                        <a:effectRef idx="0"/>
                        <a:fontRef idx="minor"/>
                      </wps:style>
                      <wps:txbx>
                        <w:txbxContent>
                          <w:tbl>
                            <w:tblPr>
                              <w:tblW w:w="7420" w:type="dxa"/>
                              <w:jc w:val="center"/>
                              <w:tblInd w:w="0" w:type="dxa"/>
                              <w:tblBorders>
                                <w:top w:val="single" w:sz="8" w:space="0" w:color="00000A"/>
                                <w:left w:val="single" w:sz="8" w:space="0" w:color="00000A"/>
                                <w:right w:val="single" w:sz="8" w:space="0" w:color="00000A"/>
                                <w:insideV w:val="single" w:sz="8" w:space="0" w:color="00000A"/>
                              </w:tblBorders>
                              <w:tblCellMar>
                                <w:top w:w="0" w:type="dxa"/>
                                <w:left w:w="60" w:type="dxa"/>
                                <w:bottom w:w="0" w:type="dxa"/>
                                <w:right w:w="70" w:type="dxa"/>
                              </w:tblCellMar>
                              <w:tblLook w:firstRow="1" w:noVBand="1" w:lastRow="0" w:firstColumn="1" w:lastColumn="0" w:noHBand="0" w:val="04a0"/>
                            </w:tblPr>
                            <w:tblGrid>
                              <w:gridCol w:w="2771"/>
                              <w:gridCol w:w="1189"/>
                              <w:gridCol w:w="2375"/>
                              <w:gridCol w:w="1084"/>
                            </w:tblGrid>
                            <w:tr>
                              <w:trPr>
                                <w:trHeight w:val="196" w:hRule="atLeast"/>
                              </w:trPr>
                              <w:tc>
                                <w:tcPr>
                                  <w:tcW w:w="2771"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LOGEMENTS PAR TYPE</w:t>
                                  </w:r>
                                </w:p>
                              </w:tc>
                              <w:tc>
                                <w:tcPr>
                                  <w:tcW w:w="1189"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2375"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PLACES</w:t>
                                  </w:r>
                                </w:p>
                              </w:tc>
                            </w:tr>
                            <w:tr>
                              <w:trPr>
                                <w:trHeight w:val="206" w:hRule="atLeast"/>
                              </w:trPr>
                              <w:tc>
                                <w:tcPr>
                                  <w:tcW w:w="2771"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118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237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F1</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4</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4</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F1 bis</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9</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9</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F2</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7</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11</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b/>
                                      <w:b/>
                                      <w:bCs/>
                                      <w:color w:val="000000"/>
                                      <w:sz w:val="22"/>
                                      <w:szCs w:val="22"/>
                                    </w:rPr>
                                  </w:pPr>
                                  <w:r>
                                    <w:rPr>
                                      <w:b/>
                                      <w:bCs/>
                                      <w:color w:val="000000"/>
                                      <w:sz w:val="22"/>
                                      <w:szCs w:val="22"/>
                                    </w:rPr>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Total logement résidents</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20</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Total places résidents</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24</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Hôte</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1</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b/>
                                      <w:b/>
                                      <w:bCs/>
                                      <w:color w:val="000000"/>
                                      <w:sz w:val="22"/>
                                      <w:szCs w:val="22"/>
                                    </w:rPr>
                                  </w:pPr>
                                  <w:r>
                                    <w:rPr>
                                      <w:b/>
                                      <w:bCs/>
                                      <w:color w:val="000000"/>
                                      <w:sz w:val="22"/>
                                      <w:szCs w:val="22"/>
                                    </w:rPr>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206" w:hRule="atLeast"/>
                              </w:trPr>
                              <w:tc>
                                <w:tcPr>
                                  <w:tcW w:w="2771"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Total logements résidence</w:t>
                                  </w:r>
                                </w:p>
                              </w:tc>
                              <w:tc>
                                <w:tcPr>
                                  <w:tcW w:w="118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21</w:t>
                                  </w:r>
                                </w:p>
                              </w:tc>
                              <w:tc>
                                <w:tcPr>
                                  <w:tcW w:w="237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bl>
                          <w:p>
                            <w:pPr>
                              <w:pStyle w:val="Contenudecadre"/>
                              <w:rPr/>
                            </w:pPr>
                            <w:r>
                              <w:rPr/>
                            </w:r>
                          </w:p>
                        </w:txbxContent>
                      </wps:txbx>
                      <wps:bodyPr lIns="0" rIns="0" tIns="0" bIns="0">
                        <a:spAutoFit/>
                      </wps:bodyPr>
                    </wps:wsp>
                  </a:graphicData>
                </a:graphic>
              </wp:anchor>
            </w:drawing>
          </mc:Choice>
          <mc:Fallback>
            <w:pict>
              <v:rect id="shape_0" ID="Cadre2" stroked="f" style="position:absolute;margin-left:41.3pt;margin-top:0pt;width:370.95pt;height:157.8pt;mso-position-horizontal:center;mso-position-horizontal-relative:margin">
                <w10:wrap type="none"/>
                <v:fill o:detectmouseclick="t" on="false"/>
                <v:stroke color="#3465a4" joinstyle="round" endcap="flat"/>
                <v:textbox>
                  <w:txbxContent>
                    <w:tbl>
                      <w:tblPr>
                        <w:tblW w:w="7420" w:type="dxa"/>
                        <w:jc w:val="center"/>
                        <w:tblInd w:w="0" w:type="dxa"/>
                        <w:tblBorders>
                          <w:top w:val="single" w:sz="8" w:space="0" w:color="00000A"/>
                          <w:left w:val="single" w:sz="8" w:space="0" w:color="00000A"/>
                          <w:right w:val="single" w:sz="8" w:space="0" w:color="00000A"/>
                          <w:insideV w:val="single" w:sz="8" w:space="0" w:color="00000A"/>
                        </w:tblBorders>
                        <w:tblCellMar>
                          <w:top w:w="0" w:type="dxa"/>
                          <w:left w:w="60" w:type="dxa"/>
                          <w:bottom w:w="0" w:type="dxa"/>
                          <w:right w:w="70" w:type="dxa"/>
                        </w:tblCellMar>
                        <w:tblLook w:firstRow="1" w:noVBand="1" w:lastRow="0" w:firstColumn="1" w:lastColumn="0" w:noHBand="0" w:val="04a0"/>
                      </w:tblPr>
                      <w:tblGrid>
                        <w:gridCol w:w="2771"/>
                        <w:gridCol w:w="1189"/>
                        <w:gridCol w:w="2375"/>
                        <w:gridCol w:w="1084"/>
                      </w:tblGrid>
                      <w:tr>
                        <w:trPr>
                          <w:trHeight w:val="196" w:hRule="atLeast"/>
                        </w:trPr>
                        <w:tc>
                          <w:tcPr>
                            <w:tcW w:w="2771"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LOGEMENTS PAR TYPE</w:t>
                            </w:r>
                          </w:p>
                        </w:tc>
                        <w:tc>
                          <w:tcPr>
                            <w:tcW w:w="1189"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2375"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PLACES</w:t>
                            </w:r>
                          </w:p>
                        </w:tc>
                      </w:tr>
                      <w:tr>
                        <w:trPr>
                          <w:trHeight w:val="206" w:hRule="atLeast"/>
                        </w:trPr>
                        <w:tc>
                          <w:tcPr>
                            <w:tcW w:w="2771"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118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237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F1</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4</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4</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F1 bis</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9</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9</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F2</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7</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11</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b/>
                                <w:b/>
                                <w:bCs/>
                                <w:color w:val="000000"/>
                                <w:sz w:val="22"/>
                                <w:szCs w:val="22"/>
                              </w:rPr>
                            </w:pPr>
                            <w:r>
                              <w:rPr>
                                <w:b/>
                                <w:bCs/>
                                <w:color w:val="000000"/>
                                <w:sz w:val="22"/>
                                <w:szCs w:val="22"/>
                              </w:rPr>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Total logement résidents</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20</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Total places résidents</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jc w:val="right"/>
                              <w:rPr/>
                            </w:pPr>
                            <w:r>
                              <w:rPr>
                                <w:b/>
                                <w:bCs/>
                                <w:color w:val="000000"/>
                                <w:sz w:val="22"/>
                                <w:szCs w:val="22"/>
                              </w:rPr>
                              <w:t>24</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Hôte</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1</w:t>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b/>
                                <w:b/>
                                <w:bCs/>
                                <w:color w:val="000000"/>
                                <w:sz w:val="22"/>
                                <w:szCs w:val="22"/>
                              </w:rPr>
                            </w:pPr>
                            <w:r>
                              <w:rPr>
                                <w:b/>
                                <w:bCs/>
                                <w:color w:val="000000"/>
                                <w:sz w:val="22"/>
                                <w:szCs w:val="22"/>
                              </w:rPr>
                            </w:r>
                          </w:p>
                        </w:tc>
                      </w:tr>
                      <w:tr>
                        <w:trPr>
                          <w:trHeight w:val="196" w:hRule="atLeast"/>
                        </w:trPr>
                        <w:tc>
                          <w:tcPr>
                            <w:tcW w:w="2771"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189" w:type="dxa"/>
                            <w:tcBorders>
                              <w:left w:val="single" w:sz="8" w:space="0" w:color="00000A"/>
                              <w:right w:val="single" w:sz="8" w:space="0" w:color="00000A"/>
                              <w:insideV w:val="single" w:sz="8" w:space="0" w:color="00000A"/>
                            </w:tcBorders>
                            <w:shd w:fill="auto" w:val="clear"/>
                            <w:vAlign w:val="bottom"/>
                          </w:tcPr>
                          <w:p>
                            <w:pPr>
                              <w:pStyle w:val="Normal"/>
                              <w:ind w:right="240" w:hanging="0"/>
                              <w:rPr>
                                <w:b/>
                                <w:b/>
                                <w:bCs/>
                                <w:color w:val="000000"/>
                                <w:sz w:val="22"/>
                                <w:szCs w:val="22"/>
                              </w:rPr>
                            </w:pPr>
                            <w:r>
                              <w:rPr>
                                <w:b/>
                                <w:bCs/>
                                <w:color w:val="000000"/>
                                <w:sz w:val="22"/>
                                <w:szCs w:val="22"/>
                              </w:rPr>
                            </w:r>
                          </w:p>
                        </w:tc>
                        <w:tc>
                          <w:tcPr>
                            <w:tcW w:w="2375" w:type="dxa"/>
                            <w:tcBorders>
                              <w:left w:val="single" w:sz="8" w:space="0" w:color="00000A"/>
                              <w:right w:val="single" w:sz="8" w:space="0" w:color="00000A"/>
                              <w:insideV w:val="single" w:sz="8" w:space="0" w:color="00000A"/>
                            </w:tcBorders>
                            <w:shd w:fill="auto" w:val="clear"/>
                            <w:vAlign w:val="bottom"/>
                          </w:tcPr>
                          <w:p>
                            <w:pPr>
                              <w:pStyle w:val="Normal"/>
                              <w:rPr/>
                            </w:pPr>
                            <w:r>
                              <w:rPr>
                                <w:b/>
                                <w:bCs/>
                                <w:color w:val="000000"/>
                                <w:sz w:val="22"/>
                                <w:szCs w:val="22"/>
                              </w:rPr>
                              <w:t> </w:t>
                            </w:r>
                          </w:p>
                        </w:tc>
                        <w:tc>
                          <w:tcPr>
                            <w:tcW w:w="1084" w:type="dxa"/>
                            <w:tcBorders>
                              <w:left w:val="single" w:sz="8" w:space="0" w:color="00000A"/>
                              <w:right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r>
                        <w:trPr>
                          <w:trHeight w:val="206" w:hRule="atLeast"/>
                        </w:trPr>
                        <w:tc>
                          <w:tcPr>
                            <w:tcW w:w="2771"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pPr>
                            <w:r>
                              <w:rPr>
                                <w:b/>
                                <w:bCs/>
                                <w:color w:val="000000"/>
                                <w:sz w:val="22"/>
                                <w:szCs w:val="22"/>
                              </w:rPr>
                              <w:t>Total logements résidence</w:t>
                            </w:r>
                          </w:p>
                        </w:tc>
                        <w:tc>
                          <w:tcPr>
                            <w:tcW w:w="118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right="240" w:hanging="0"/>
                              <w:jc w:val="right"/>
                              <w:rPr/>
                            </w:pPr>
                            <w:r>
                              <w:rPr>
                                <w:b/>
                                <w:bCs/>
                                <w:color w:val="000000"/>
                                <w:sz w:val="22"/>
                                <w:szCs w:val="22"/>
                              </w:rPr>
                              <w:t>21</w:t>
                            </w:r>
                          </w:p>
                        </w:tc>
                        <w:tc>
                          <w:tcPr>
                            <w:tcW w:w="237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r>
                          </w:p>
                        </w:tc>
                        <w:tc>
                          <w:tcPr>
                            <w:tcW w:w="1084"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tabs>
                                <w:tab w:val="clear" w:pos="708"/>
                                <w:tab w:val="left" w:pos="680" w:leader="none"/>
                              </w:tabs>
                              <w:ind w:right="88" w:hanging="0"/>
                              <w:rPr/>
                            </w:pPr>
                            <w:r>
                              <w:rPr>
                                <w:b/>
                                <w:bCs/>
                                <w:color w:val="000000"/>
                                <w:sz w:val="22"/>
                                <w:szCs w:val="22"/>
                              </w:rPr>
                              <w:t> </w:t>
                            </w:r>
                          </w:p>
                        </w:tc>
                      </w:tr>
                    </w:tbl>
                    <w:p>
                      <w:pPr>
                        <w:pStyle w:val="Contenudecadre"/>
                        <w:rPr/>
                      </w:pPr>
                      <w:r>
                        <w:rPr/>
                      </w:r>
                    </w:p>
                  </w:txbxContent>
                </v:textbox>
              </v:rect>
            </w:pict>
          </mc:Fallback>
        </mc:AlternateContent>
      </w:r>
    </w:p>
    <w:p>
      <w:pPr>
        <w:pStyle w:val="Normal"/>
        <w:ind w:left="426" w:right="0" w:hanging="0"/>
        <w:jc w:val="both"/>
        <w:rPr/>
      </w:pPr>
      <w:r>
        <w:rPr/>
      </w:r>
    </w:p>
    <w:p>
      <w:pPr>
        <w:pStyle w:val="Normal"/>
        <w:spacing w:lineRule="auto" w:line="276" w:before="0" w:after="200"/>
        <w:rPr/>
      </w:pPr>
      <w:r>
        <w:rPr/>
      </w:r>
      <w:r>
        <w:br w:type="page"/>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tbl>
      <w:tblPr>
        <w:tblW w:w="9932" w:type="dxa"/>
        <w:jc w:val="left"/>
        <w:tblInd w:w="55" w:type="dxa"/>
        <w:tblBorders/>
        <w:tblCellMar>
          <w:top w:w="0" w:type="dxa"/>
          <w:left w:w="70" w:type="dxa"/>
          <w:bottom w:w="0" w:type="dxa"/>
          <w:right w:w="70" w:type="dxa"/>
        </w:tblCellMar>
        <w:tblLook w:firstRow="1" w:noVBand="1" w:lastRow="0" w:firstColumn="1" w:lastColumn="0" w:noHBand="0" w:val="04a0"/>
      </w:tblPr>
      <w:tblGrid>
        <w:gridCol w:w="1302"/>
        <w:gridCol w:w="828"/>
        <w:gridCol w:w="741"/>
        <w:gridCol w:w="950"/>
        <w:gridCol w:w="823"/>
        <w:gridCol w:w="1238"/>
        <w:gridCol w:w="1200"/>
        <w:gridCol w:w="1200"/>
        <w:gridCol w:w="1649"/>
      </w:tblGrid>
      <w:tr>
        <w:trPr>
          <w:trHeight w:val="289" w:hRule="atLeast"/>
        </w:trPr>
        <w:tc>
          <w:tcPr>
            <w:tcW w:w="9931" w:type="dxa"/>
            <w:gridSpan w:val="9"/>
            <w:tcBorders/>
            <w:shd w:fill="auto" w:val="clear"/>
            <w:vAlign w:val="bottom"/>
          </w:tcPr>
          <w:p>
            <w:pPr>
              <w:pStyle w:val="Normal"/>
              <w:jc w:val="center"/>
              <w:rPr>
                <w:rFonts w:ascii="Calibri" w:hAnsi="Calibri"/>
                <w:color w:val="000000"/>
                <w:sz w:val="22"/>
                <w:szCs w:val="22"/>
              </w:rPr>
            </w:pPr>
            <w:r>
              <w:rPr>
                <w:b/>
                <w:bCs/>
                <w:color w:val="000000"/>
                <w:sz w:val="22"/>
                <w:szCs w:val="22"/>
              </w:rPr>
              <w:t>RESIDENCE SANTOS DUMONT (PLAI)</w:t>
            </w:r>
          </w:p>
        </w:tc>
      </w:tr>
      <w:tr>
        <w:trPr>
          <w:trHeight w:val="991" w:hRule="atLeast"/>
        </w:trPr>
        <w:tc>
          <w:tcPr>
            <w:tcW w:w="1302" w:type="dxa"/>
            <w:tcBorders/>
            <w:shd w:fill="auto" w:val="clear"/>
            <w:vAlign w:val="bottom"/>
          </w:tcPr>
          <w:p>
            <w:pPr>
              <w:pStyle w:val="Normal"/>
              <w:rPr>
                <w:b/>
                <w:b/>
                <w:bCs/>
                <w:color w:val="000000"/>
                <w:sz w:val="22"/>
                <w:szCs w:val="22"/>
              </w:rPr>
            </w:pPr>
            <w:r>
              <w:rPr>
                <w:b/>
                <w:bCs/>
                <w:color w:val="000000"/>
                <w:sz w:val="22"/>
                <w:szCs w:val="22"/>
              </w:rPr>
              <w:t>SURFACES</w:t>
            </w:r>
          </w:p>
          <w:p>
            <w:pPr>
              <w:pStyle w:val="Normal"/>
              <w:rPr>
                <w:b/>
                <w:b/>
                <w:bCs/>
                <w:color w:val="000000"/>
                <w:sz w:val="22"/>
                <w:szCs w:val="22"/>
              </w:rPr>
            </w:pPr>
            <w:r>
              <w:rPr>
                <w:b/>
                <w:bCs/>
                <w:color w:val="000000"/>
                <w:sz w:val="22"/>
                <w:szCs w:val="22"/>
              </w:rPr>
            </w:r>
          </w:p>
          <w:p>
            <w:pPr>
              <w:pStyle w:val="Normal"/>
              <w:rPr>
                <w:b/>
                <w:b/>
                <w:bCs/>
                <w:color w:val="000000"/>
                <w:sz w:val="22"/>
                <w:szCs w:val="22"/>
              </w:rPr>
            </w:pPr>
            <w:r>
              <w:rPr>
                <w:b/>
                <w:bCs/>
                <w:color w:val="000000"/>
                <w:sz w:val="22"/>
                <w:szCs w:val="22"/>
              </w:rPr>
            </w:r>
          </w:p>
        </w:tc>
        <w:tc>
          <w:tcPr>
            <w:tcW w:w="828" w:type="dxa"/>
            <w:tcBorders/>
            <w:shd w:fill="auto" w:val="clear"/>
            <w:vAlign w:val="bottom"/>
          </w:tcPr>
          <w:p>
            <w:pPr>
              <w:pStyle w:val="Normal"/>
              <w:rPr>
                <w:b/>
                <w:b/>
                <w:bCs/>
                <w:color w:val="000000"/>
                <w:sz w:val="22"/>
                <w:szCs w:val="22"/>
              </w:rPr>
            </w:pPr>
            <w:r>
              <w:rPr>
                <w:b/>
                <w:bCs/>
                <w:color w:val="000000"/>
                <w:sz w:val="22"/>
                <w:szCs w:val="22"/>
              </w:rPr>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shd w:fill="auto" w:val="clear"/>
            <w:vAlign w:val="bottom"/>
          </w:tcPr>
          <w:p>
            <w:pPr>
              <w:pStyle w:val="Normal"/>
              <w:rPr>
                <w:b/>
                <w:b/>
                <w:bCs/>
                <w:color w:val="000000"/>
                <w:sz w:val="22"/>
                <w:szCs w:val="22"/>
              </w:rPr>
            </w:pPr>
            <w:r>
              <w:rPr>
                <w:b/>
                <w:bCs/>
                <w:color w:val="000000"/>
                <w:sz w:val="22"/>
                <w:szCs w:val="22"/>
              </w:rPr>
            </w:r>
          </w:p>
        </w:tc>
        <w:tc>
          <w:tcPr>
            <w:tcW w:w="823" w:type="dxa"/>
            <w:tcBorders/>
            <w:shd w:fill="auto" w:val="clear"/>
            <w:vAlign w:val="bottom"/>
          </w:tcPr>
          <w:p>
            <w:pPr>
              <w:pStyle w:val="Normal"/>
              <w:rPr>
                <w:color w:val="000000"/>
                <w:sz w:val="22"/>
                <w:szCs w:val="22"/>
              </w:rPr>
            </w:pPr>
            <w:r>
              <w:rPr>
                <w:color w:val="000000"/>
                <w:sz w:val="22"/>
                <w:szCs w:val="22"/>
              </w:rPr>
            </w:r>
          </w:p>
        </w:tc>
        <w:tc>
          <w:tcPr>
            <w:tcW w:w="1238" w:type="dxa"/>
            <w:tcBorders/>
            <w:shd w:fill="auto" w:val="clear"/>
            <w:vAlign w:val="bottom"/>
          </w:tcPr>
          <w:p>
            <w:pPr>
              <w:pStyle w:val="Normal"/>
              <w:rPr>
                <w:color w:val="000000"/>
                <w:sz w:val="22"/>
                <w:szCs w:val="22"/>
              </w:rPr>
            </w:pPr>
            <w:r>
              <w:rPr>
                <w:color w:val="000000"/>
                <w:sz w:val="22"/>
                <w:szCs w:val="22"/>
              </w:rPr>
            </w:r>
          </w:p>
        </w:tc>
        <w:tc>
          <w:tcPr>
            <w:tcW w:w="1200" w:type="dxa"/>
            <w:tcBorders/>
            <w:shd w:fill="auto" w:val="clear"/>
            <w:vAlign w:val="bottom"/>
          </w:tcPr>
          <w:p>
            <w:pPr>
              <w:pStyle w:val="Normal"/>
              <w:rPr>
                <w:color w:val="000000"/>
                <w:sz w:val="22"/>
                <w:szCs w:val="22"/>
              </w:rPr>
            </w:pPr>
            <w:r>
              <w:rPr>
                <w:color w:val="000000"/>
                <w:sz w:val="22"/>
                <w:szCs w:val="22"/>
              </w:rPr>
            </w:r>
          </w:p>
        </w:tc>
        <w:tc>
          <w:tcPr>
            <w:tcW w:w="1200" w:type="dxa"/>
            <w:tcBorders/>
            <w:shd w:fill="auto" w:val="clear"/>
            <w:vAlign w:val="bottom"/>
          </w:tcPr>
          <w:p>
            <w:pPr>
              <w:pStyle w:val="Normal"/>
              <w:rPr>
                <w:rFonts w:ascii="Calibri" w:hAnsi="Calibri"/>
                <w:color w:val="000000"/>
                <w:sz w:val="22"/>
                <w:szCs w:val="22"/>
              </w:rPr>
            </w:pPr>
            <w:r>
              <w:rPr>
                <w:rFonts w:ascii="Calibri" w:hAnsi="Calibri"/>
                <w:color w:val="000000"/>
                <w:sz w:val="22"/>
                <w:szCs w:val="22"/>
              </w:rPr>
            </w:r>
          </w:p>
        </w:tc>
        <w:tc>
          <w:tcPr>
            <w:tcW w:w="1649" w:type="dxa"/>
            <w:tcBorders/>
            <w:shd w:fill="auto" w:val="clear"/>
            <w:vAlign w:val="bottom"/>
          </w:tcPr>
          <w:p>
            <w:pPr>
              <w:pStyle w:val="Normal"/>
              <w:rPr>
                <w:rFonts w:ascii="Calibri" w:hAnsi="Calibri"/>
                <w:color w:val="000000"/>
                <w:sz w:val="22"/>
                <w:szCs w:val="22"/>
              </w:rPr>
            </w:pPr>
            <w:r>
              <w:rPr>
                <w:rFonts w:ascii="Calibri" w:hAnsi="Calibri"/>
                <w:color w:val="000000"/>
                <w:sz w:val="22"/>
                <w:szCs w:val="22"/>
              </w:rPr>
            </w:r>
          </w:p>
        </w:tc>
      </w:tr>
      <w:tr>
        <w:trPr>
          <w:trHeight w:val="300" w:hRule="atLeast"/>
        </w:trPr>
        <w:tc>
          <w:tcPr>
            <w:tcW w:w="1302"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logements</w:t>
            </w:r>
          </w:p>
        </w:tc>
        <w:tc>
          <w:tcPr>
            <w:tcW w:w="828" w:type="dxa"/>
            <w:tcBorders>
              <w:top w:val="single" w:sz="8" w:space="0" w:color="00000A"/>
            </w:tcBorders>
            <w:shd w:fill="auto" w:val="clear"/>
            <w:vAlign w:val="bottom"/>
          </w:tcPr>
          <w:p>
            <w:pPr>
              <w:pStyle w:val="Normal"/>
              <w:jc w:val="center"/>
              <w:rPr>
                <w:color w:val="000000"/>
                <w:sz w:val="22"/>
                <w:szCs w:val="22"/>
              </w:rPr>
            </w:pPr>
            <w:r>
              <w:rPr>
                <w:color w:val="000000"/>
                <w:sz w:val="22"/>
                <w:szCs w:val="22"/>
              </w:rPr>
              <w:t>places</w:t>
            </w:r>
          </w:p>
        </w:tc>
        <w:tc>
          <w:tcPr>
            <w:tcW w:w="741"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étage</w:t>
            </w:r>
          </w:p>
        </w:tc>
        <w:tc>
          <w:tcPr>
            <w:tcW w:w="950" w:type="dxa"/>
            <w:tcBorders>
              <w:top w:val="single" w:sz="8" w:space="0" w:color="00000A"/>
            </w:tcBorders>
            <w:shd w:fill="auto" w:val="clear"/>
            <w:vAlign w:val="bottom"/>
          </w:tcPr>
          <w:p>
            <w:pPr>
              <w:pStyle w:val="Normal"/>
              <w:jc w:val="center"/>
              <w:rPr>
                <w:color w:val="000000"/>
                <w:sz w:val="22"/>
                <w:szCs w:val="22"/>
              </w:rPr>
            </w:pPr>
            <w:r>
              <w:rPr>
                <w:color w:val="000000"/>
                <w:sz w:val="22"/>
                <w:szCs w:val="22"/>
              </w:rPr>
              <w:t>surface</w:t>
            </w:r>
          </w:p>
        </w:tc>
        <w:tc>
          <w:tcPr>
            <w:tcW w:w="823"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type</w:t>
            </w:r>
          </w:p>
        </w:tc>
        <w:tc>
          <w:tcPr>
            <w:tcW w:w="1238" w:type="dxa"/>
            <w:tcBorders>
              <w:top w:val="single" w:sz="8" w:space="0" w:color="00000A"/>
            </w:tcBorders>
            <w:shd w:fill="auto" w:val="clear"/>
            <w:vAlign w:val="bottom"/>
          </w:tcPr>
          <w:p>
            <w:pPr>
              <w:pStyle w:val="Normal"/>
              <w:jc w:val="center"/>
              <w:rPr>
                <w:color w:val="000000"/>
                <w:sz w:val="22"/>
                <w:szCs w:val="22"/>
              </w:rPr>
            </w:pPr>
            <w:r>
              <w:rPr>
                <w:color w:val="000000"/>
                <w:sz w:val="22"/>
                <w:szCs w:val="22"/>
              </w:rPr>
              <w:t>mentions</w:t>
            </w:r>
          </w:p>
        </w:tc>
        <w:tc>
          <w:tcPr>
            <w:tcW w:w="1200"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redevance</w:t>
            </w:r>
          </w:p>
        </w:tc>
        <w:tc>
          <w:tcPr>
            <w:tcW w:w="1200"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jc w:val="center"/>
              <w:rPr>
                <w:color w:val="000000"/>
                <w:sz w:val="22"/>
                <w:szCs w:val="22"/>
              </w:rPr>
            </w:pPr>
            <w:r>
              <w:rPr>
                <w:color w:val="000000"/>
                <w:sz w:val="22"/>
                <w:szCs w:val="22"/>
              </w:rPr>
              <w:t>simu AL</w:t>
            </w:r>
          </w:p>
        </w:tc>
        <w:tc>
          <w:tcPr>
            <w:tcW w:w="1649"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jc w:val="center"/>
              <w:rPr>
                <w:color w:val="000000"/>
                <w:sz w:val="22"/>
                <w:szCs w:val="22"/>
              </w:rPr>
            </w:pPr>
            <w:r>
              <w:rPr>
                <w:color w:val="000000"/>
                <w:sz w:val="22"/>
                <w:szCs w:val="22"/>
              </w:rPr>
              <w:t>redev apr AL</w:t>
            </w:r>
          </w:p>
        </w:tc>
      </w:tr>
      <w:tr>
        <w:trPr>
          <w:trHeight w:val="300" w:hRule="atLeast"/>
        </w:trPr>
        <w:tc>
          <w:tcPr>
            <w:tcW w:w="130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741"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950"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823"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238"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120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200" w:type="dxa"/>
            <w:tcBorders>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c>
          <w:tcPr>
            <w:tcW w:w="1649" w:type="dxa"/>
            <w:tcBorders>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289" w:hRule="atLeast"/>
        </w:trPr>
        <w:tc>
          <w:tcPr>
            <w:tcW w:w="1302" w:type="dxa"/>
            <w:tcBorders>
              <w:left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shd w:fill="auto" w:val="clear"/>
            <w:vAlign w:val="bottom"/>
          </w:tcPr>
          <w:p>
            <w:pPr>
              <w:pStyle w:val="Normal"/>
              <w:rPr>
                <w:b/>
                <w:b/>
                <w:bCs/>
                <w:color w:val="000000"/>
                <w:sz w:val="22"/>
                <w:szCs w:val="22"/>
              </w:rPr>
            </w:pPr>
            <w:r>
              <w:rPr>
                <w:b/>
                <w:bCs/>
                <w:color w:val="000000"/>
                <w:sz w:val="22"/>
                <w:szCs w:val="22"/>
              </w:rPr>
              <w:t>RDC</w:t>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shd w:fill="auto" w:val="clear"/>
            <w:vAlign w:val="bottom"/>
          </w:tcPr>
          <w:p>
            <w:pPr>
              <w:pStyle w:val="Normal"/>
              <w:rPr>
                <w:color w:val="000000"/>
                <w:sz w:val="22"/>
                <w:szCs w:val="22"/>
              </w:rPr>
            </w:pPr>
            <w:r>
              <w:rPr>
                <w:color w:val="000000"/>
                <w:sz w:val="22"/>
                <w:szCs w:val="22"/>
              </w:rPr>
              <w:t> </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rPr>
                <w:color w:val="000000"/>
                <w:sz w:val="22"/>
                <w:szCs w:val="22"/>
              </w:rPr>
            </w:pPr>
            <w:r>
              <w:rPr>
                <w:color w:val="000000"/>
                <w:sz w:val="22"/>
                <w:szCs w:val="22"/>
              </w:rPr>
              <w:t> </w:t>
            </w:r>
          </w:p>
        </w:tc>
        <w:tc>
          <w:tcPr>
            <w:tcW w:w="1200"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rFonts w:ascii="Calibri" w:hAnsi="Calibri"/>
                <w:color w:val="000000"/>
                <w:sz w:val="22"/>
                <w:szCs w:val="22"/>
              </w:rPr>
            </w:pPr>
            <w:r>
              <w:rPr>
                <w:rFonts w:ascii="Calibri" w:hAnsi="Calibri"/>
                <w:color w:val="000000"/>
                <w:sz w:val="22"/>
                <w:szCs w:val="22"/>
              </w:rPr>
              <w:t> </w:t>
            </w:r>
          </w:p>
        </w:tc>
        <w:tc>
          <w:tcPr>
            <w:tcW w:w="1649"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23,38</w:t>
            </w:r>
          </w:p>
        </w:tc>
        <w:tc>
          <w:tcPr>
            <w:tcW w:w="823" w:type="dxa"/>
            <w:tcBorders/>
            <w:shd w:fill="auto" w:val="clear"/>
            <w:vAlign w:val="bottom"/>
          </w:tcPr>
          <w:p>
            <w:pPr>
              <w:pStyle w:val="Normal"/>
              <w:jc w:val="right"/>
              <w:rPr>
                <w:color w:val="000000"/>
                <w:sz w:val="22"/>
                <w:szCs w:val="22"/>
              </w:rPr>
            </w:pPr>
            <w:r>
              <w:rPr>
                <w:color w:val="000000"/>
                <w:sz w:val="22"/>
                <w:szCs w:val="22"/>
              </w:rPr>
              <w:t>F1</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PMR</w:t>
            </w:r>
          </w:p>
        </w:tc>
        <w:tc>
          <w:tcPr>
            <w:tcW w:w="1200" w:type="dxa"/>
            <w:tcBorders/>
            <w:shd w:fill="auto" w:val="clear"/>
            <w:vAlign w:val="bottom"/>
          </w:tcPr>
          <w:p>
            <w:pPr>
              <w:pStyle w:val="Normal"/>
              <w:jc w:val="right"/>
              <w:rPr>
                <w:color w:val="000000"/>
                <w:sz w:val="22"/>
                <w:szCs w:val="22"/>
              </w:rPr>
            </w:pPr>
            <w:r>
              <w:rPr>
                <w:color w:val="000000"/>
                <w:sz w:val="22"/>
                <w:szCs w:val="22"/>
              </w:rPr>
              <w:t>397</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121</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37,8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PMR</w:t>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300" w:hRule="atLeast"/>
        </w:trPr>
        <w:tc>
          <w:tcPr>
            <w:tcW w:w="1302" w:type="dxa"/>
            <w:tcBorders>
              <w:top w:val="single" w:sz="8" w:space="0" w:color="00000A"/>
              <w:left w:val="single" w:sz="8" w:space="0" w:color="00000A"/>
              <w:bottom w:val="single" w:sz="8" w:space="0" w:color="00000A"/>
              <w:insideH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top w:val="single" w:sz="8" w:space="0" w:color="00000A"/>
              <w:bottom w:val="single" w:sz="8" w:space="0" w:color="00000A"/>
              <w:insideH w:val="single" w:sz="8" w:space="0" w:color="00000A"/>
            </w:tcBorders>
            <w:shd w:fill="auto" w:val="clear"/>
            <w:vAlign w:val="bottom"/>
          </w:tcPr>
          <w:p>
            <w:pPr>
              <w:pStyle w:val="Normal"/>
              <w:rPr>
                <w:b/>
                <w:b/>
                <w:bCs/>
                <w:color w:val="000000"/>
                <w:sz w:val="22"/>
                <w:szCs w:val="22"/>
              </w:rPr>
            </w:pPr>
            <w:r>
              <w:rPr>
                <w:b/>
                <w:bCs/>
                <w:color w:val="000000"/>
                <w:sz w:val="22"/>
                <w:szCs w:val="22"/>
              </w:rPr>
              <w:t> </w:t>
            </w:r>
          </w:p>
        </w:tc>
        <w:tc>
          <w:tcPr>
            <w:tcW w:w="95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top w:val="single" w:sz="8" w:space="0" w:color="00000A"/>
              <w:bottom w:val="single" w:sz="8" w:space="0" w:color="00000A"/>
              <w:insideH w:val="single" w:sz="8" w:space="0" w:color="00000A"/>
            </w:tcBorders>
            <w:shd w:fill="auto" w:val="clear"/>
            <w:vAlign w:val="bottom"/>
          </w:tcPr>
          <w:p>
            <w:pPr>
              <w:pStyle w:val="Normal"/>
              <w:jc w:val="right"/>
              <w:rPr>
                <w:color w:val="000000"/>
                <w:sz w:val="22"/>
                <w:szCs w:val="22"/>
              </w:rPr>
            </w:pPr>
            <w:r>
              <w:rPr>
                <w:color w:val="000000"/>
                <w:sz w:val="22"/>
                <w:szCs w:val="22"/>
              </w:rPr>
              <w:t> </w:t>
            </w:r>
          </w:p>
        </w:tc>
        <w:tc>
          <w:tcPr>
            <w:tcW w:w="123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120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300" w:hRule="atLeast"/>
        </w:trPr>
        <w:tc>
          <w:tcPr>
            <w:tcW w:w="1302" w:type="dxa"/>
            <w:tcBorders>
              <w:left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shd w:fill="auto" w:val="clear"/>
            <w:vAlign w:val="bottom"/>
          </w:tcPr>
          <w:p>
            <w:pPr>
              <w:pStyle w:val="Normal"/>
              <w:rPr>
                <w:b/>
                <w:b/>
                <w:bCs/>
                <w:color w:val="000000"/>
                <w:sz w:val="22"/>
                <w:szCs w:val="22"/>
              </w:rPr>
            </w:pPr>
            <w:r>
              <w:rPr>
                <w:b/>
                <w:bCs/>
                <w:color w:val="000000"/>
                <w:sz w:val="22"/>
                <w:szCs w:val="22"/>
              </w:rPr>
              <w:t>2ème</w:t>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shd w:fill="auto" w:val="clear"/>
            <w:vAlign w:val="bottom"/>
          </w:tcPr>
          <w:p>
            <w:pPr>
              <w:pStyle w:val="Normal"/>
              <w:jc w:val="right"/>
              <w:rPr>
                <w:color w:val="000000"/>
                <w:sz w:val="22"/>
                <w:szCs w:val="22"/>
              </w:rPr>
            </w:pPr>
            <w:r>
              <w:rPr>
                <w:color w:val="000000"/>
                <w:sz w:val="22"/>
                <w:szCs w:val="22"/>
              </w:rPr>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rPr>
                <w:color w:val="000000"/>
                <w:sz w:val="22"/>
                <w:szCs w:val="22"/>
              </w:rPr>
            </w:pPr>
            <w:r>
              <w:rPr>
                <w:color w:val="000000"/>
                <w:sz w:val="22"/>
                <w:szCs w:val="22"/>
              </w:rPr>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48</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rFonts w:ascii="Calibri" w:hAnsi="Calibri"/>
                <w:color w:val="000000"/>
                <w:sz w:val="22"/>
                <w:szCs w:val="22"/>
              </w:rPr>
            </w:pPr>
            <w:r>
              <w:rPr>
                <w:rFonts w:ascii="Calibri" w:hAnsi="Calibri"/>
                <w:color w:val="000000"/>
                <w:sz w:val="22"/>
                <w:szCs w:val="22"/>
              </w:rPr>
              <w:t>couple</w:t>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367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232</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5</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32,8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5</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6</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292</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6</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7</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46,1</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couple</w:t>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292</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7</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8</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35,8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8</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9</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823" w:type="dxa"/>
            <w:tcBorders/>
            <w:shd w:fill="auto" w:val="clear"/>
            <w:vAlign w:val="bottom"/>
          </w:tcPr>
          <w:p>
            <w:pPr>
              <w:pStyle w:val="Normal"/>
              <w:jc w:val="right"/>
              <w:rPr>
                <w:color w:val="000000"/>
                <w:sz w:val="22"/>
                <w:szCs w:val="22"/>
              </w:rPr>
            </w:pPr>
            <w:r>
              <w:rPr>
                <w:color w:val="000000"/>
                <w:sz w:val="22"/>
                <w:szCs w:val="22"/>
              </w:rPr>
              <w:t>F1</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397</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121</w:t>
            </w:r>
          </w:p>
        </w:tc>
      </w:tr>
      <w:tr>
        <w:trPr>
          <w:trHeight w:val="300" w:hRule="atLeast"/>
        </w:trPr>
        <w:tc>
          <w:tcPr>
            <w:tcW w:w="1302" w:type="dxa"/>
            <w:tcBorders>
              <w:left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shd w:fill="auto" w:val="clear"/>
            <w:vAlign w:val="bottom"/>
          </w:tcPr>
          <w:p>
            <w:pPr>
              <w:pStyle w:val="Normal"/>
              <w:jc w:val="right"/>
              <w:rPr>
                <w:color w:val="000000"/>
                <w:sz w:val="22"/>
                <w:szCs w:val="22"/>
              </w:rPr>
            </w:pPr>
            <w:r>
              <w:rPr>
                <w:color w:val="000000"/>
                <w:sz w:val="22"/>
                <w:szCs w:val="22"/>
              </w:rPr>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rPr>
                <w:color w:val="000000"/>
                <w:sz w:val="22"/>
                <w:szCs w:val="22"/>
              </w:rPr>
            </w:pPr>
            <w:r>
              <w:rPr>
                <w:color w:val="000000"/>
                <w:sz w:val="22"/>
                <w:szCs w:val="22"/>
              </w:rPr>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300" w:hRule="atLeast"/>
        </w:trPr>
        <w:tc>
          <w:tcPr>
            <w:tcW w:w="1302" w:type="dxa"/>
            <w:tcBorders>
              <w:top w:val="single" w:sz="8" w:space="0" w:color="00000A"/>
              <w:left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top w:val="single" w:sz="8" w:space="0" w:color="00000A"/>
            </w:tcBorders>
            <w:shd w:fill="auto" w:val="clear"/>
            <w:vAlign w:val="bottom"/>
          </w:tcPr>
          <w:p>
            <w:pPr>
              <w:pStyle w:val="Normal"/>
              <w:rPr>
                <w:b/>
                <w:b/>
                <w:bCs/>
                <w:color w:val="000000"/>
                <w:sz w:val="22"/>
                <w:szCs w:val="22"/>
              </w:rPr>
            </w:pPr>
            <w:r>
              <w:rPr>
                <w:b/>
                <w:bCs/>
                <w:color w:val="000000"/>
                <w:sz w:val="22"/>
                <w:szCs w:val="22"/>
              </w:rPr>
              <w:t>3ème</w:t>
            </w:r>
          </w:p>
        </w:tc>
        <w:tc>
          <w:tcPr>
            <w:tcW w:w="950"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top w:val="single" w:sz="8" w:space="0" w:color="00000A"/>
            </w:tcBorders>
            <w:shd w:fill="auto" w:val="clear"/>
            <w:vAlign w:val="bottom"/>
          </w:tcPr>
          <w:p>
            <w:pPr>
              <w:pStyle w:val="Normal"/>
              <w:jc w:val="right"/>
              <w:rPr>
                <w:color w:val="000000"/>
                <w:sz w:val="22"/>
                <w:szCs w:val="22"/>
              </w:rPr>
            </w:pPr>
            <w:r>
              <w:rPr>
                <w:color w:val="000000"/>
                <w:sz w:val="22"/>
                <w:szCs w:val="22"/>
              </w:rPr>
              <w:t> </w:t>
            </w:r>
          </w:p>
        </w:tc>
        <w:tc>
          <w:tcPr>
            <w:tcW w:w="1238"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top w:val="single" w:sz="8" w:space="0" w:color="00000A"/>
            </w:tcBorders>
            <w:shd w:fill="auto" w:val="clear"/>
            <w:vAlign w:val="bottom"/>
          </w:tcPr>
          <w:p>
            <w:pPr>
              <w:pStyle w:val="Normal"/>
              <w:rPr>
                <w:color w:val="000000"/>
                <w:sz w:val="22"/>
                <w:szCs w:val="22"/>
              </w:rPr>
            </w:pPr>
            <w:r>
              <w:rPr>
                <w:color w:val="000000"/>
                <w:sz w:val="22"/>
                <w:szCs w:val="22"/>
              </w:rPr>
              <w:t> </w:t>
            </w:r>
          </w:p>
        </w:tc>
        <w:tc>
          <w:tcPr>
            <w:tcW w:w="1200"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300" w:hRule="atLeast"/>
        </w:trPr>
        <w:tc>
          <w:tcPr>
            <w:tcW w:w="1302" w:type="dxa"/>
            <w:tcBorders>
              <w:left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hôte</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0</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48</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logement hôte</w:t>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0</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0</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9</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10</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32,8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10</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11</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292</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11</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12</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46,1</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couple</w:t>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292</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12</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13</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35,8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13</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14</w:t>
            </w:r>
          </w:p>
        </w:tc>
        <w:tc>
          <w:tcPr>
            <w:tcW w:w="741" w:type="dxa"/>
            <w:tcBorders/>
            <w:shd w:fill="auto" w:val="clear"/>
            <w:vAlign w:val="bottom"/>
          </w:tcPr>
          <w:p>
            <w:pPr>
              <w:pStyle w:val="Normal"/>
              <w:rPr>
                <w:b/>
                <w:b/>
                <w:bCs/>
                <w:color w:val="000000"/>
                <w:sz w:val="22"/>
                <w:szCs w:val="22"/>
              </w:rPr>
            </w:pPr>
            <w:r>
              <w:rPr>
                <w:b/>
                <w:bCs/>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823" w:type="dxa"/>
            <w:tcBorders/>
            <w:shd w:fill="auto" w:val="clear"/>
            <w:vAlign w:val="bottom"/>
          </w:tcPr>
          <w:p>
            <w:pPr>
              <w:pStyle w:val="Normal"/>
              <w:jc w:val="right"/>
              <w:rPr>
                <w:color w:val="000000"/>
                <w:sz w:val="22"/>
                <w:szCs w:val="22"/>
              </w:rPr>
            </w:pPr>
            <w:r>
              <w:rPr>
                <w:color w:val="000000"/>
                <w:sz w:val="22"/>
                <w:szCs w:val="22"/>
              </w:rPr>
              <w:t>F1</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397</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121</w:t>
            </w:r>
          </w:p>
        </w:tc>
      </w:tr>
      <w:tr>
        <w:trPr>
          <w:trHeight w:val="300" w:hRule="atLeast"/>
        </w:trPr>
        <w:tc>
          <w:tcPr>
            <w:tcW w:w="1302" w:type="dxa"/>
            <w:tcBorders>
              <w:top w:val="single" w:sz="8" w:space="0" w:color="00000A"/>
              <w:left w:val="single" w:sz="8" w:space="0" w:color="00000A"/>
              <w:bottom w:val="single" w:sz="8" w:space="0" w:color="00000A"/>
              <w:insideH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top w:val="single" w:sz="8" w:space="0" w:color="00000A"/>
              <w:bottom w:val="single" w:sz="8" w:space="0" w:color="00000A"/>
              <w:insideH w:val="single" w:sz="8" w:space="0" w:color="00000A"/>
            </w:tcBorders>
            <w:shd w:fill="auto" w:val="clear"/>
            <w:vAlign w:val="bottom"/>
          </w:tcPr>
          <w:p>
            <w:pPr>
              <w:pStyle w:val="Normal"/>
              <w:rPr>
                <w:b/>
                <w:b/>
                <w:bCs/>
                <w:color w:val="000000"/>
                <w:sz w:val="22"/>
                <w:szCs w:val="22"/>
              </w:rPr>
            </w:pPr>
            <w:r>
              <w:rPr>
                <w:b/>
                <w:bCs/>
                <w:color w:val="000000"/>
                <w:sz w:val="22"/>
                <w:szCs w:val="22"/>
              </w:rPr>
              <w:t> </w:t>
            </w:r>
          </w:p>
        </w:tc>
        <w:tc>
          <w:tcPr>
            <w:tcW w:w="95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top w:val="single" w:sz="8" w:space="0" w:color="00000A"/>
              <w:bottom w:val="single" w:sz="8" w:space="0" w:color="00000A"/>
              <w:insideH w:val="single" w:sz="8" w:space="0" w:color="00000A"/>
            </w:tcBorders>
            <w:shd w:fill="auto" w:val="clear"/>
            <w:vAlign w:val="bottom"/>
          </w:tcPr>
          <w:p>
            <w:pPr>
              <w:pStyle w:val="Normal"/>
              <w:jc w:val="right"/>
              <w:rPr>
                <w:color w:val="000000"/>
                <w:sz w:val="22"/>
                <w:szCs w:val="22"/>
              </w:rPr>
            </w:pPr>
            <w:r>
              <w:rPr>
                <w:color w:val="000000"/>
                <w:sz w:val="22"/>
                <w:szCs w:val="22"/>
              </w:rPr>
              <w:t> </w:t>
            </w:r>
          </w:p>
        </w:tc>
        <w:tc>
          <w:tcPr>
            <w:tcW w:w="123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120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300" w:hRule="atLeast"/>
        </w:trPr>
        <w:tc>
          <w:tcPr>
            <w:tcW w:w="1302" w:type="dxa"/>
            <w:tcBorders>
              <w:left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741" w:type="dxa"/>
            <w:tcBorders/>
            <w:shd w:fill="auto" w:val="clear"/>
            <w:vAlign w:val="bottom"/>
          </w:tcPr>
          <w:p>
            <w:pPr>
              <w:pStyle w:val="Normal"/>
              <w:rPr>
                <w:b/>
                <w:b/>
                <w:bCs/>
                <w:color w:val="000000"/>
                <w:sz w:val="22"/>
                <w:szCs w:val="22"/>
              </w:rPr>
            </w:pPr>
            <w:r>
              <w:rPr>
                <w:b/>
                <w:bCs/>
                <w:color w:val="000000"/>
                <w:sz w:val="22"/>
                <w:szCs w:val="22"/>
              </w:rPr>
              <w:t>4ème</w:t>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823" w:type="dxa"/>
            <w:tcBorders/>
            <w:shd w:fill="auto" w:val="clear"/>
            <w:vAlign w:val="bottom"/>
          </w:tcPr>
          <w:p>
            <w:pPr>
              <w:pStyle w:val="Normal"/>
              <w:jc w:val="right"/>
              <w:rPr>
                <w:color w:val="000000"/>
                <w:sz w:val="22"/>
                <w:szCs w:val="22"/>
              </w:rPr>
            </w:pPr>
            <w:r>
              <w:rPr>
                <w:color w:val="000000"/>
                <w:sz w:val="22"/>
                <w:szCs w:val="22"/>
              </w:rPr>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rPr>
                <w:color w:val="000000"/>
                <w:sz w:val="22"/>
                <w:szCs w:val="22"/>
              </w:rPr>
            </w:pPr>
            <w:r>
              <w:rPr>
                <w:color w:val="000000"/>
                <w:sz w:val="22"/>
                <w:szCs w:val="22"/>
              </w:rPr>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649" w:type="dxa"/>
            <w:tcBorders>
              <w:left w:val="single" w:sz="8" w:space="0" w:color="00000A"/>
              <w:right w:val="single" w:sz="8" w:space="0" w:color="00000A"/>
              <w:insideV w:val="single" w:sz="8" w:space="0" w:color="00000A"/>
            </w:tcBorders>
            <w:shd w:fill="auto" w:val="clear"/>
            <w:vAlign w:val="bottom"/>
          </w:tcPr>
          <w:p>
            <w:pPr>
              <w:pStyle w:val="Normal"/>
              <w:rPr>
                <w:rFonts w:ascii="Calibri" w:hAnsi="Calibri"/>
                <w:color w:val="000000"/>
                <w:sz w:val="22"/>
                <w:szCs w:val="22"/>
              </w:rPr>
            </w:pPr>
            <w:r>
              <w:rPr>
                <w:rFonts w:ascii="Calibri" w:hAnsi="Calibri"/>
                <w:color w:val="000000"/>
                <w:sz w:val="22"/>
                <w:szCs w:val="22"/>
              </w:rPr>
              <w:t> </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14</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15</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15</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16</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31,9</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16</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17</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32,8</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289"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17</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18</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rFonts w:ascii="Calibri" w:hAnsi="Calibri"/>
                <w:color w:val="000000"/>
                <w:sz w:val="22"/>
                <w:szCs w:val="22"/>
              </w:rPr>
            </w:pPr>
            <w:r>
              <w:rPr>
                <w:rFonts w:ascii="Calibri" w:hAnsi="Calibri"/>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292</w:t>
            </w:r>
          </w:p>
        </w:tc>
      </w:tr>
      <w:tr>
        <w:trPr>
          <w:trHeight w:val="300"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18</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20</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46,1</w:t>
            </w:r>
          </w:p>
        </w:tc>
        <w:tc>
          <w:tcPr>
            <w:tcW w:w="823" w:type="dxa"/>
            <w:tcBorders/>
            <w:shd w:fill="auto" w:val="clear"/>
            <w:vAlign w:val="bottom"/>
          </w:tcPr>
          <w:p>
            <w:pPr>
              <w:pStyle w:val="Normal"/>
              <w:jc w:val="right"/>
              <w:rPr>
                <w:color w:val="000000"/>
                <w:sz w:val="22"/>
                <w:szCs w:val="22"/>
              </w:rPr>
            </w:pPr>
            <w:r>
              <w:rPr>
                <w:color w:val="000000"/>
                <w:sz w:val="22"/>
                <w:szCs w:val="22"/>
              </w:rPr>
              <w:t>F2</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t>couple</w:t>
            </w:r>
          </w:p>
        </w:tc>
        <w:tc>
          <w:tcPr>
            <w:tcW w:w="1200" w:type="dxa"/>
            <w:tcBorders/>
            <w:shd w:fill="auto" w:val="clear"/>
            <w:vAlign w:val="bottom"/>
          </w:tcPr>
          <w:p>
            <w:pPr>
              <w:pStyle w:val="Normal"/>
              <w:jc w:val="right"/>
              <w:rPr>
                <w:color w:val="000000"/>
                <w:sz w:val="22"/>
                <w:szCs w:val="22"/>
              </w:rPr>
            </w:pPr>
            <w:r>
              <w:rPr>
                <w:color w:val="000000"/>
                <w:sz w:val="22"/>
                <w:szCs w:val="22"/>
              </w:rPr>
              <w:t>599</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367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232</w:t>
            </w:r>
          </w:p>
        </w:tc>
      </w:tr>
      <w:tr>
        <w:trPr>
          <w:trHeight w:val="300" w:hRule="atLeast"/>
        </w:trPr>
        <w:tc>
          <w:tcPr>
            <w:tcW w:w="1302" w:type="dxa"/>
            <w:tcBorders>
              <w:left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19</w:t>
            </w:r>
          </w:p>
        </w:tc>
        <w:tc>
          <w:tcPr>
            <w:tcW w:w="82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21</w:t>
            </w:r>
          </w:p>
        </w:tc>
        <w:tc>
          <w:tcPr>
            <w:tcW w:w="741" w:type="dxa"/>
            <w:tcBorders/>
            <w:shd w:fill="auto" w:val="clear"/>
            <w:vAlign w:val="bottom"/>
          </w:tcPr>
          <w:p>
            <w:pPr>
              <w:pStyle w:val="Normal"/>
              <w:rPr>
                <w:color w:val="000000"/>
                <w:sz w:val="22"/>
                <w:szCs w:val="22"/>
              </w:rPr>
            </w:pPr>
            <w:r>
              <w:rPr>
                <w:color w:val="000000"/>
                <w:sz w:val="22"/>
                <w:szCs w:val="22"/>
              </w:rPr>
            </w:r>
          </w:p>
        </w:tc>
        <w:tc>
          <w:tcPr>
            <w:tcW w:w="95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31,3</w:t>
            </w:r>
          </w:p>
        </w:tc>
        <w:tc>
          <w:tcPr>
            <w:tcW w:w="823" w:type="dxa"/>
            <w:tcBorders/>
            <w:shd w:fill="auto" w:val="clear"/>
            <w:vAlign w:val="bottom"/>
          </w:tcPr>
          <w:p>
            <w:pPr>
              <w:pStyle w:val="Normal"/>
              <w:jc w:val="right"/>
              <w:rPr>
                <w:color w:val="000000"/>
                <w:sz w:val="22"/>
                <w:szCs w:val="22"/>
              </w:rPr>
            </w:pPr>
            <w:r>
              <w:rPr>
                <w:color w:val="000000"/>
                <w:sz w:val="22"/>
                <w:szCs w:val="22"/>
              </w:rPr>
              <w:t>F1 bis</w:t>
            </w:r>
          </w:p>
        </w:tc>
        <w:tc>
          <w:tcPr>
            <w:tcW w:w="1238"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shd w:fill="auto" w:val="clear"/>
            <w:vAlign w:val="bottom"/>
          </w:tcPr>
          <w:p>
            <w:pPr>
              <w:pStyle w:val="Normal"/>
              <w:jc w:val="right"/>
              <w:rPr>
                <w:color w:val="000000"/>
                <w:sz w:val="22"/>
                <w:szCs w:val="22"/>
              </w:rPr>
            </w:pPr>
            <w:r>
              <w:rPr>
                <w:color w:val="000000"/>
                <w:sz w:val="22"/>
                <w:szCs w:val="22"/>
              </w:rPr>
              <w:t>576</w:t>
            </w:r>
          </w:p>
        </w:tc>
        <w:tc>
          <w:tcPr>
            <w:tcW w:w="1200"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307</w:t>
            </w:r>
          </w:p>
        </w:tc>
        <w:tc>
          <w:tcPr>
            <w:tcW w:w="1649" w:type="dxa"/>
            <w:tcBorders>
              <w:left w:val="single" w:sz="8" w:space="0" w:color="00000A"/>
              <w:right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269</w:t>
            </w:r>
          </w:p>
        </w:tc>
      </w:tr>
      <w:tr>
        <w:trPr>
          <w:trHeight w:val="315" w:hRule="atLeast"/>
        </w:trPr>
        <w:tc>
          <w:tcPr>
            <w:tcW w:w="1302" w:type="dxa"/>
            <w:tcBorders>
              <w:top w:val="single" w:sz="8" w:space="0" w:color="00000A"/>
              <w:left w:val="single" w:sz="8" w:space="0" w:color="00000A"/>
              <w:bottom w:val="single" w:sz="8" w:space="0" w:color="00000A"/>
              <w:insideH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20</w:t>
            </w:r>
          </w:p>
        </w:tc>
        <w:tc>
          <w:tcPr>
            <w:tcW w:w="82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22</w:t>
            </w:r>
          </w:p>
        </w:tc>
        <w:tc>
          <w:tcPr>
            <w:tcW w:w="741"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95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823" w:type="dxa"/>
            <w:tcBorders>
              <w:top w:val="single" w:sz="8" w:space="0" w:color="00000A"/>
              <w:bottom w:val="single" w:sz="8" w:space="0" w:color="00000A"/>
              <w:insideH w:val="single" w:sz="8" w:space="0" w:color="00000A"/>
            </w:tcBorders>
            <w:shd w:fill="auto" w:val="clear"/>
            <w:vAlign w:val="bottom"/>
          </w:tcPr>
          <w:p>
            <w:pPr>
              <w:pStyle w:val="Normal"/>
              <w:jc w:val="right"/>
              <w:rPr>
                <w:color w:val="000000"/>
                <w:sz w:val="22"/>
                <w:szCs w:val="22"/>
              </w:rPr>
            </w:pPr>
            <w:r>
              <w:rPr>
                <w:color w:val="000000"/>
                <w:sz w:val="22"/>
                <w:szCs w:val="22"/>
              </w:rPr>
              <w:t>F1</w:t>
            </w:r>
          </w:p>
        </w:tc>
        <w:tc>
          <w:tcPr>
            <w:tcW w:w="123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center"/>
              <w:rPr>
                <w:color w:val="000000"/>
                <w:sz w:val="22"/>
                <w:szCs w:val="22"/>
              </w:rPr>
            </w:pPr>
            <w:r>
              <w:rPr>
                <w:color w:val="000000"/>
                <w:sz w:val="22"/>
                <w:szCs w:val="22"/>
              </w:rPr>
            </w:r>
          </w:p>
        </w:tc>
        <w:tc>
          <w:tcPr>
            <w:tcW w:w="1200" w:type="dxa"/>
            <w:tcBorders>
              <w:top w:val="single" w:sz="8" w:space="0" w:color="00000A"/>
              <w:bottom w:val="single" w:sz="8" w:space="0" w:color="00000A"/>
              <w:insideH w:val="single" w:sz="8" w:space="0" w:color="00000A"/>
            </w:tcBorders>
            <w:shd w:fill="auto" w:val="clear"/>
            <w:vAlign w:val="bottom"/>
          </w:tcPr>
          <w:p>
            <w:pPr>
              <w:pStyle w:val="Normal"/>
              <w:jc w:val="right"/>
              <w:rPr>
                <w:color w:val="000000"/>
                <w:sz w:val="22"/>
                <w:szCs w:val="22"/>
              </w:rPr>
            </w:pPr>
            <w:r>
              <w:rPr>
                <w:color w:val="000000"/>
                <w:sz w:val="22"/>
                <w:szCs w:val="22"/>
              </w:rPr>
              <w:t>397</w:t>
            </w:r>
          </w:p>
        </w:tc>
        <w:tc>
          <w:tcPr>
            <w:tcW w:w="120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right"/>
              <w:rPr>
                <w:color w:val="000000"/>
                <w:sz w:val="22"/>
                <w:szCs w:val="22"/>
              </w:rPr>
            </w:pPr>
            <w:r>
              <w:rPr>
                <w:color w:val="000000"/>
                <w:sz w:val="22"/>
                <w:szCs w:val="22"/>
              </w:rPr>
              <w:t>276</w:t>
            </w:r>
          </w:p>
        </w:tc>
        <w:tc>
          <w:tcPr>
            <w:tcW w:w="164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rFonts w:ascii="Calibri" w:hAnsi="Calibri"/>
                <w:color w:val="000000"/>
                <w:sz w:val="22"/>
                <w:szCs w:val="22"/>
              </w:rPr>
            </w:pPr>
            <w:r>
              <w:rPr>
                <w:rFonts w:ascii="Calibri" w:hAnsi="Calibri"/>
                <w:color w:val="000000"/>
                <w:sz w:val="22"/>
                <w:szCs w:val="22"/>
              </w:rPr>
              <w:t>121</w:t>
            </w:r>
          </w:p>
        </w:tc>
      </w:tr>
    </w:tbl>
    <w:p>
      <w:pPr>
        <w:pStyle w:val="Normal"/>
        <w:spacing w:lineRule="auto" w:line="276" w:before="0" w:after="200"/>
        <w:rPr/>
      </w:pPr>
      <w:r>
        <w:rPr/>
      </w:r>
      <w:r>
        <w:br w:type="page"/>
      </w:r>
    </w:p>
    <w:p>
      <w:pPr>
        <w:pStyle w:val="Normal"/>
        <w:ind w:left="426" w:right="0" w:hanging="0"/>
        <w:jc w:val="both"/>
        <w:rPr/>
      </w:pPr>
      <w:r>
        <w:rPr/>
      </w:r>
    </w:p>
    <w:p>
      <w:pPr>
        <w:pStyle w:val="Normal"/>
        <w:spacing w:lineRule="auto" w:line="276" w:before="0" w:after="200"/>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Normal"/>
        <w:spacing w:lineRule="auto" w:line="276" w:before="0" w:after="200"/>
        <w:ind w:left="360" w:hanging="0"/>
        <w:jc w:val="center"/>
        <w:rPr>
          <w:b/>
          <w:b/>
          <w:bCs/>
          <w:sz w:val="36"/>
          <w:szCs w:val="36"/>
        </w:rPr>
      </w:pPr>
      <w:r>
        <w:rPr>
          <w:b/>
          <w:bCs/>
          <w:sz w:val="36"/>
          <w:szCs w:val="36"/>
        </w:rPr>
      </w:r>
    </w:p>
    <w:p>
      <w:pPr>
        <w:pStyle w:val="ListParagraph"/>
        <w:numPr>
          <w:ilvl w:val="0"/>
          <w:numId w:val="17"/>
        </w:numPr>
        <w:spacing w:lineRule="auto" w:line="276" w:before="0" w:after="200"/>
        <w:contextualSpacing/>
        <w:jc w:val="center"/>
        <w:rPr>
          <w:b/>
          <w:b/>
          <w:bCs/>
          <w:sz w:val="36"/>
          <w:szCs w:val="36"/>
        </w:rPr>
      </w:pPr>
      <w:r>
        <w:rPr>
          <w:b/>
          <w:bCs/>
          <w:sz w:val="36"/>
          <w:szCs w:val="36"/>
        </w:rPr>
        <w:t>ACCOMPAGNEMENT ET VIE SOCIALE</w:t>
      </w:r>
    </w:p>
    <w:p>
      <w:pPr>
        <w:pStyle w:val="Normal"/>
        <w:spacing w:lineRule="auto" w:line="276" w:before="0" w:after="200"/>
        <w:jc w:val="center"/>
        <w:rPr>
          <w:b/>
          <w:b/>
          <w:bCs/>
          <w:sz w:val="36"/>
          <w:szCs w:val="36"/>
        </w:rPr>
      </w:pPr>
      <w:r>
        <w:rPr>
          <w:b/>
          <w:bCs/>
          <w:sz w:val="36"/>
          <w:szCs w:val="36"/>
        </w:rPr>
      </w:r>
    </w:p>
    <w:p>
      <w:pPr>
        <w:pStyle w:val="Normal"/>
        <w:spacing w:lineRule="auto" w:line="276" w:before="0" w:after="200"/>
        <w:rPr>
          <w:b/>
          <w:b/>
          <w:bCs/>
          <w:sz w:val="36"/>
          <w:szCs w:val="36"/>
        </w:rPr>
      </w:pPr>
      <w:r>
        <w:rPr>
          <w:b/>
          <w:bCs/>
          <w:sz w:val="36"/>
          <w:szCs w:val="36"/>
        </w:rPr>
      </w:r>
      <w:r>
        <w:br w:type="page"/>
      </w:r>
    </w:p>
    <w:p>
      <w:pPr>
        <w:pStyle w:val="ListParagraph"/>
        <w:numPr>
          <w:ilvl w:val="6"/>
          <w:numId w:val="12"/>
        </w:numPr>
        <w:spacing w:lineRule="auto" w:line="276" w:before="0" w:after="200"/>
        <w:ind w:left="426" w:hanging="360"/>
        <w:contextualSpacing/>
        <w:rPr>
          <w:b/>
          <w:b/>
        </w:rPr>
      </w:pPr>
      <w:r>
        <w:rPr>
          <w:b/>
        </w:rPr>
        <w:t>L’ACCOMPAGNEMENT</w:t>
      </w:r>
    </w:p>
    <w:p>
      <w:pPr>
        <w:pStyle w:val="Normal"/>
        <w:spacing w:lineRule="auto" w:line="276" w:before="0" w:after="200"/>
        <w:ind w:left="360" w:hanging="0"/>
        <w:contextualSpacing/>
        <w:rPr>
          <w:b/>
          <w:b/>
        </w:rPr>
      </w:pPr>
      <w:r>
        <w:rPr>
          <w:b/>
        </w:rPr>
      </w:r>
    </w:p>
    <w:p>
      <w:pPr>
        <w:pStyle w:val="Normal"/>
        <w:spacing w:lineRule="auto" w:line="276" w:before="0" w:after="200"/>
        <w:ind w:left="426" w:hanging="0"/>
        <w:rPr/>
      </w:pPr>
      <w:r>
        <w:rPr/>
        <w:t xml:space="preserve">L’UNAFAM et </w:t>
      </w:r>
      <w:r>
        <w:rPr>
          <w:b/>
          <w:i/>
        </w:rPr>
        <w:t>espérance hauts de seine</w:t>
      </w:r>
      <w:r>
        <w:rPr/>
        <w:t xml:space="preserve"> à laquelle elle est affiliée considèrent que pour les malades psychiques, tout logement doit d’être un logement accompagné.</w:t>
      </w:r>
    </w:p>
    <w:p>
      <w:pPr>
        <w:pStyle w:val="Normal"/>
        <w:ind w:left="426" w:right="0" w:hanging="0"/>
        <w:jc w:val="both"/>
        <w:rPr/>
      </w:pPr>
      <w:r>
        <w:rPr/>
        <w:t>Dans le cas de la résidence-accueil, cet accompagnement psychosocial des personnes s’effectue essentiellement sur 3 niveaux en cherchant à conjuguer en permanence le respect du statut de locataire des résidents et le soutien qui leur permet de maintenir et développer leur autonomie et leurs compétences sociales :</w:t>
      </w:r>
    </w:p>
    <w:p>
      <w:pPr>
        <w:pStyle w:val="Normal"/>
        <w:ind w:left="0" w:right="0" w:hanging="0"/>
        <w:jc w:val="both"/>
        <w:rPr/>
      </w:pPr>
      <w:r>
        <w:rPr/>
      </w:r>
    </w:p>
    <w:p>
      <w:pPr>
        <w:pStyle w:val="Normal"/>
        <w:numPr>
          <w:ilvl w:val="1"/>
          <w:numId w:val="2"/>
        </w:numPr>
        <w:ind w:left="720" w:right="0" w:hanging="360"/>
        <w:jc w:val="both"/>
        <w:rPr>
          <w:b/>
          <w:b/>
          <w:bCs/>
        </w:rPr>
      </w:pPr>
      <w:r>
        <w:rPr>
          <w:b/>
          <w:bCs/>
        </w:rPr>
        <w:t>Les soins </w:t>
      </w:r>
    </w:p>
    <w:p>
      <w:pPr>
        <w:pStyle w:val="Normal"/>
        <w:ind w:left="720" w:right="0" w:hanging="0"/>
        <w:jc w:val="both"/>
        <w:rPr>
          <w:b/>
          <w:b/>
          <w:bCs/>
        </w:rPr>
      </w:pPr>
      <w:r>
        <w:rPr>
          <w:b/>
          <w:bCs/>
        </w:rPr>
      </w:r>
    </w:p>
    <w:p>
      <w:pPr>
        <w:pStyle w:val="Normal"/>
        <w:ind w:left="360" w:right="0" w:hanging="0"/>
        <w:jc w:val="both"/>
        <w:rPr/>
      </w:pPr>
      <w:r>
        <w:rPr/>
        <w:t>Dans l’état actuel des connaissances médicales des pathologies mentales, le suivi psychiatrique, essentiellement chimiothérapique et psychothérapique reste la meilleure approche de réduction des troubles et de la stabilisation de l’état des malades.</w:t>
      </w:r>
    </w:p>
    <w:p>
      <w:pPr>
        <w:pStyle w:val="Normal"/>
        <w:ind w:left="360" w:right="0" w:hanging="0"/>
        <w:jc w:val="both"/>
        <w:rPr/>
      </w:pPr>
      <w:r>
        <w:rPr/>
        <w:t xml:space="preserve">Les progrès pharmaceutiques offrent plus de précision thérapeutique en diminuant les effets secondaires. </w:t>
      </w:r>
    </w:p>
    <w:p>
      <w:pPr>
        <w:pStyle w:val="Normal"/>
        <w:ind w:left="360" w:right="0" w:hanging="0"/>
        <w:jc w:val="both"/>
        <w:rPr/>
      </w:pPr>
      <w:r>
        <w:rPr/>
      </w:r>
    </w:p>
    <w:p>
      <w:pPr>
        <w:pStyle w:val="Normal"/>
        <w:ind w:left="360" w:right="0" w:hanging="0"/>
        <w:jc w:val="both"/>
        <w:rPr/>
      </w:pPr>
      <w:r>
        <w:rPr/>
        <w:t>Cependant, les moyens réduits en personnel de soin dans les Centres Médico-Psychologiques, demandent qu’ils  soient complétés notamment par les structures médico-sociales pour assurer une continuité thérapeutique garantissant la stabilisation de l’état des patients et les aider à organiser leur vie pour qu’elle leur soit plus accessible.</w:t>
      </w:r>
    </w:p>
    <w:p>
      <w:pPr>
        <w:pStyle w:val="Normal"/>
        <w:ind w:left="360" w:right="0" w:hanging="0"/>
        <w:jc w:val="both"/>
        <w:rPr/>
      </w:pPr>
      <w:r>
        <w:rPr/>
      </w:r>
    </w:p>
    <w:p>
      <w:pPr>
        <w:pStyle w:val="Normal"/>
        <w:ind w:left="360" w:right="0" w:hanging="0"/>
        <w:jc w:val="both"/>
        <w:rPr/>
      </w:pPr>
      <w:r>
        <w:rPr/>
        <w:t>Les fréquents incidents dans l’observance des soins, l’opposition, parfois farouche et récurrente des patients obligent effectivement à mettre souvent en place des soutiens au suivi des traitements, soutiens qui demandent avant tout du temps et une relation de confiance.</w:t>
      </w:r>
    </w:p>
    <w:p>
      <w:pPr>
        <w:pStyle w:val="Normal"/>
        <w:ind w:left="360" w:right="0" w:hanging="0"/>
        <w:jc w:val="both"/>
        <w:rPr/>
      </w:pPr>
      <w:r>
        <w:rPr>
          <w:b/>
          <w:i/>
        </w:rPr>
        <w:t xml:space="preserve">espérance hauts de seine </w:t>
      </w:r>
      <w:r>
        <w:rPr/>
        <w:t xml:space="preserve">a établi de longue date des relations de partenariat avec les différents secteurs psychiatriques, </w:t>
      </w:r>
      <w:r>
        <w:rPr>
          <w:b/>
          <w:bCs/>
        </w:rPr>
        <w:t xml:space="preserve">partenariats matérialisés par des conventions cadres complétées par des conventions tripartites </w:t>
      </w:r>
      <w:r>
        <w:rPr/>
        <w:t>(patient-usager/équipe de soins/association gestionnaire).</w:t>
      </w:r>
    </w:p>
    <w:p>
      <w:pPr>
        <w:pStyle w:val="Normal"/>
        <w:ind w:left="360" w:right="0" w:hanging="0"/>
        <w:jc w:val="both"/>
        <w:rPr/>
      </w:pPr>
      <w:r>
        <w:rPr/>
      </w:r>
    </w:p>
    <w:p>
      <w:pPr>
        <w:pStyle w:val="Normal"/>
        <w:ind w:left="360" w:right="0" w:hanging="0"/>
        <w:jc w:val="both"/>
        <w:rPr/>
      </w:pPr>
      <w:r>
        <w:rPr/>
        <w:t>Ces conventions permettent de définir, avec le même niveau d’information entre les membres concernés, l’organisation, le contenu et le sens des interactions.</w:t>
      </w:r>
    </w:p>
    <w:p>
      <w:pPr>
        <w:pStyle w:val="Normal"/>
        <w:ind w:left="360" w:right="0" w:hanging="0"/>
        <w:jc w:val="both"/>
        <w:rPr/>
      </w:pPr>
      <w:r>
        <w:rPr/>
      </w:r>
    </w:p>
    <w:p>
      <w:pPr>
        <w:pStyle w:val="Normal"/>
        <w:ind w:left="360" w:right="0" w:hanging="0"/>
        <w:jc w:val="both"/>
        <w:rPr/>
      </w:pPr>
      <w:r>
        <w:rPr/>
        <w:t>Les hôtes ont une place privilégiée pour repérer au quotidien les fluctuations, les signes avant-coureurs d’inquiétude ou de déstabilisation et les transmettre aux équipes des services d’accompagnement pour les évaluer et les placer dans le contexte individuel de la personne.</w:t>
      </w:r>
    </w:p>
    <w:p>
      <w:pPr>
        <w:pStyle w:val="Normal"/>
        <w:ind w:left="360" w:right="0" w:hanging="0"/>
        <w:jc w:val="both"/>
        <w:rPr/>
      </w:pPr>
      <w:r>
        <w:rPr>
          <w:b/>
          <w:bCs/>
        </w:rPr>
        <w:t>Les services d’accompagnement (SAVS et surtout SAMSAH) sont les intervenants privilégiés  pour coordonner les actions menées dans le cadre du projet d’accompagnement personnalisé dont le projet de soins. Le SAMSAH</w:t>
      </w:r>
      <w:r>
        <w:rPr/>
        <w:t>, en particulier, bénéficie d’un personnel médical et paramédical, apportant son expertise psychiatrique sur le suivi des résidents (médecin psychiatre-psychologue) et son accompagnement concret au suivi et à la réalisation des soins (infirmiers-aides-soignants).</w:t>
      </w:r>
    </w:p>
    <w:p>
      <w:pPr>
        <w:pStyle w:val="Normal"/>
        <w:ind w:left="360" w:right="0" w:hanging="0"/>
        <w:jc w:val="both"/>
        <w:rPr/>
      </w:pPr>
      <w:r>
        <w:rPr/>
      </w:r>
    </w:p>
    <w:p>
      <w:pPr>
        <w:pStyle w:val="Normal"/>
        <w:ind w:left="360" w:right="0" w:hanging="0"/>
        <w:jc w:val="both"/>
        <w:rPr/>
      </w:pPr>
      <w:r>
        <w:rPr/>
        <w:t xml:space="preserve">Il s’agit tout d’abord de  garantir la continuité des soins psychiatriques : maintenir une relation régulière avec les équipes de soins, accompagner les usagers qui en manifestent le besoin lors de leurs rendez-vous médicaux ou lors de leurs examens. </w:t>
      </w:r>
    </w:p>
    <w:p>
      <w:pPr>
        <w:pStyle w:val="Normal"/>
        <w:ind w:left="360" w:right="0" w:hanging="0"/>
        <w:jc w:val="both"/>
        <w:rPr/>
      </w:pPr>
      <w:r>
        <w:rPr/>
        <w:t>Mais il est aussi question de donner à cet accompagnement une valeur relationnelle et éducative dans le sens d’une psychoéducation.</w:t>
      </w:r>
    </w:p>
    <w:p>
      <w:pPr>
        <w:pStyle w:val="Normal"/>
        <w:ind w:left="360" w:right="0" w:hanging="0"/>
        <w:jc w:val="both"/>
        <w:rPr/>
      </w:pPr>
      <w:r>
        <w:rPr/>
        <w:t>Enfin, l’accompagnement médical ne se limitera pas aux seuls soins psychiatriques mais consistera aussi en un accompagnement aux soins somatiques, y compris les spécialités : dentaires, gynécologiques, dermatologiques, endocrinologie… qui nécessitent souvent pour ce public un soutien constant et important pour être accepté.</w:t>
      </w:r>
    </w:p>
    <w:p>
      <w:pPr>
        <w:pStyle w:val="Normal"/>
        <w:ind w:left="360" w:right="0" w:hanging="0"/>
        <w:jc w:val="both"/>
        <w:rPr/>
      </w:pPr>
      <w:r>
        <w:rPr/>
      </w:r>
    </w:p>
    <w:p>
      <w:pPr>
        <w:pStyle w:val="Normal"/>
        <w:ind w:left="360" w:right="0" w:hanging="0"/>
        <w:jc w:val="both"/>
        <w:rPr/>
      </w:pPr>
      <w:r>
        <w:rPr/>
        <w:t>L’EPS 92 Erasme est particulièrement impliqué dans le projet de résidence-accueil et a souligné dans un courrier du 8 février dernier le partenariat effectif de longue date et la volonté de continuer à s’inscrire dans la poursuite des actions mentionnées dans nos conventions (voir pièce jointe).</w:t>
      </w:r>
    </w:p>
    <w:p>
      <w:pPr>
        <w:pStyle w:val="Normal"/>
        <w:ind w:left="360" w:right="0" w:hanging="0"/>
        <w:jc w:val="both"/>
        <w:rPr/>
      </w:pPr>
      <w:r>
        <w:rPr/>
      </w:r>
    </w:p>
    <w:p>
      <w:pPr>
        <w:pStyle w:val="Normal"/>
        <w:ind w:left="360" w:right="0" w:hanging="0"/>
        <w:jc w:val="both"/>
        <w:rPr/>
      </w:pPr>
      <w:r>
        <w:rPr/>
        <w:t xml:space="preserve">Le Dr CAUBEL et son équipe ont rencontré l’association </w:t>
      </w:r>
      <w:r>
        <w:rPr>
          <w:b/>
          <w:i/>
        </w:rPr>
        <w:t>espérance hauts de seine</w:t>
      </w:r>
      <w:r>
        <w:rPr/>
        <w:t xml:space="preserve"> à plusieurs reprises et poursuivent aujourd’hui ce travail pour définir ensemble les profils  parmi les patients hospitalisés ou suivis au CMP et présentant une situation de précarité sociale. Par ailleurs, des séances de travail déterminent les modalités concrètes d’intervention entre les hôtes de la résidence, les services d’accompagnement dont le SAMSAH et les équipes de soins.</w:t>
      </w:r>
    </w:p>
    <w:p>
      <w:pPr>
        <w:pStyle w:val="Normal"/>
        <w:ind w:left="0" w:right="0" w:hanging="0"/>
        <w:jc w:val="both"/>
        <w:rPr/>
      </w:pPr>
      <w:r>
        <w:rPr/>
      </w:r>
    </w:p>
    <w:p>
      <w:pPr>
        <w:pStyle w:val="Normal"/>
        <w:numPr>
          <w:ilvl w:val="1"/>
          <w:numId w:val="2"/>
        </w:numPr>
        <w:ind w:left="720" w:right="0" w:hanging="360"/>
        <w:jc w:val="both"/>
        <w:rPr>
          <w:b/>
          <w:b/>
          <w:bCs/>
        </w:rPr>
      </w:pPr>
      <w:r>
        <w:rPr>
          <w:b/>
          <w:bCs/>
        </w:rPr>
        <w:t>L’activité sociale</w:t>
      </w:r>
    </w:p>
    <w:p>
      <w:pPr>
        <w:pStyle w:val="Normal"/>
        <w:ind w:left="720" w:right="0" w:hanging="0"/>
        <w:jc w:val="both"/>
        <w:rPr>
          <w:b/>
          <w:b/>
          <w:bCs/>
        </w:rPr>
      </w:pPr>
      <w:r>
        <w:rPr>
          <w:b/>
          <w:bCs/>
        </w:rPr>
      </w:r>
    </w:p>
    <w:p>
      <w:pPr>
        <w:pStyle w:val="Normal"/>
        <w:ind w:left="360" w:right="0" w:hanging="0"/>
        <w:jc w:val="both"/>
        <w:rPr/>
      </w:pPr>
      <w:r>
        <w:rPr/>
        <w:t>Les pathologies mentales provoquent une tendance au repli sur soi et à l’isolement. Les activités, culturelles, récréatives, auront pour fonction de stimuler, de conserver un bon niveau d’efficience, mais surtout de donner l’occasion, à tout prix, de maintenir du lien social.</w:t>
      </w:r>
    </w:p>
    <w:p>
      <w:pPr>
        <w:pStyle w:val="Normal"/>
        <w:ind w:left="360" w:right="0" w:hanging="0"/>
        <w:jc w:val="both"/>
        <w:rPr/>
      </w:pPr>
      <w:r>
        <w:rPr/>
      </w:r>
    </w:p>
    <w:p>
      <w:pPr>
        <w:pStyle w:val="Normal"/>
        <w:ind w:left="360" w:right="0" w:hanging="0"/>
        <w:jc w:val="both"/>
        <w:rPr/>
      </w:pPr>
      <w:r>
        <w:rPr/>
        <w:t>Ce lien social a une fonction antipsychotique puisqu’il place le sujet en relation avec les autres, dans un rapport de réalité.</w:t>
      </w:r>
    </w:p>
    <w:p>
      <w:pPr>
        <w:pStyle w:val="Normal"/>
        <w:ind w:left="360" w:right="0" w:hanging="0"/>
        <w:jc w:val="both"/>
        <w:rPr/>
      </w:pPr>
      <w:r>
        <w:rPr/>
      </w:r>
    </w:p>
    <w:p>
      <w:pPr>
        <w:pStyle w:val="Normal"/>
        <w:ind w:left="360" w:right="0" w:hanging="0"/>
        <w:jc w:val="both"/>
        <w:rPr/>
      </w:pPr>
      <w:r>
        <w:rPr/>
        <w:t>Concrètement, les activités sociales organisent, structurent le rythme des journées Elles permettent, à travers les échanges interpersonnels, de donner du symbolique, du sens, du contenu et de la relativisation aux différents actes de la vie quotidienne.</w:t>
      </w:r>
    </w:p>
    <w:p>
      <w:pPr>
        <w:pStyle w:val="Normal"/>
        <w:ind w:left="360" w:right="0" w:hanging="0"/>
        <w:jc w:val="both"/>
        <w:rPr/>
      </w:pPr>
      <w:r>
        <w:rPr/>
        <w:t>En plus des activités existantes en milieu ordinaire, de nombreuses structures adaptées peuvent proposer des activités variées et adaptées. Les personnes malades psychiques ont néanmoins besoin, soit d’être incitées à les fréquenter, soit d’être encouragées à les reprendre après un abandon, soit de prendre le temps d’en échanger avec un tiers.</w:t>
      </w:r>
    </w:p>
    <w:p>
      <w:pPr>
        <w:pStyle w:val="Normal"/>
        <w:ind w:left="360" w:right="0" w:hanging="0"/>
        <w:jc w:val="both"/>
        <w:rPr/>
      </w:pPr>
      <w:r>
        <w:rPr/>
      </w:r>
    </w:p>
    <w:p>
      <w:pPr>
        <w:pStyle w:val="Normal"/>
        <w:ind w:left="360" w:right="0" w:hanging="0"/>
        <w:jc w:val="both"/>
        <w:rPr/>
      </w:pPr>
      <w:r>
        <w:rPr>
          <w:b/>
          <w:bCs/>
        </w:rPr>
        <w:t>Les hôtes</w:t>
      </w:r>
      <w:r>
        <w:rPr/>
        <w:t xml:space="preserve"> jouent un rôle significatif à cet égard : leur connaissance fine des résidents leur permet de déterminer les actions d’animation à promouvoir, tant à l’intérieur de la résidence que lors de sorties. A l’intérieur, les hôtes mettent facilement en place des temps d’accueil et de convivialité, autour d’un café, de jeux de société, de discussion autour d’un film ou de la lecture d’un journal ou d’un thème retenu par les résidents. Ils organisent régulièrement et au moins une fois par mois une réunion de résidents pour aborder les ajustements à apporter à la vie de la résidence (question matérielles, organisation, doléance, propositions) afin que chacun se sente impliqué et responsable dans la vie de la résidence-accueil.</w:t>
      </w:r>
    </w:p>
    <w:p>
      <w:pPr>
        <w:pStyle w:val="Normal"/>
        <w:ind w:left="360" w:right="0" w:hanging="0"/>
        <w:jc w:val="both"/>
        <w:rPr/>
      </w:pPr>
      <w:r>
        <w:rPr/>
      </w:r>
    </w:p>
    <w:p>
      <w:pPr>
        <w:pStyle w:val="Normal"/>
        <w:ind w:left="360" w:right="0" w:hanging="0"/>
        <w:jc w:val="both"/>
        <w:rPr/>
      </w:pPr>
      <w:r>
        <w:rPr/>
        <w:t>Les hôtes orientent les résidents sur les ressources de la ville (commerces, services, institutions et équipements) et favorisent leur fréquentation.  D’une autre manière, pour compléter cette immersion et ces relations citoyennes, les hôtes et les résidents invitent régulièrement des acteurs concourant au développement des relations sociales : bénévoles d’associations, intervenants spécialistes en question de société, intervenants culturels etc…</w:t>
      </w:r>
    </w:p>
    <w:p>
      <w:pPr>
        <w:pStyle w:val="Normal"/>
        <w:ind w:left="360" w:right="0" w:hanging="0"/>
        <w:jc w:val="both"/>
        <w:rPr/>
      </w:pPr>
      <w:r>
        <w:rPr/>
      </w:r>
    </w:p>
    <w:p>
      <w:pPr>
        <w:pStyle w:val="Normal"/>
        <w:ind w:left="426" w:right="0" w:hanging="0"/>
        <w:jc w:val="both"/>
        <w:rPr/>
      </w:pPr>
      <w:r>
        <w:rPr/>
        <w:t>Le personnel de la résidence doit répondre au minimum à trois préoccupations :</w:t>
      </w:r>
    </w:p>
    <w:p>
      <w:pPr>
        <w:pStyle w:val="Normal"/>
        <w:ind w:left="426" w:right="0" w:hanging="0"/>
        <w:jc w:val="both"/>
        <w:rPr/>
      </w:pPr>
      <w:r>
        <w:rPr/>
      </w:r>
    </w:p>
    <w:p>
      <w:pPr>
        <w:pStyle w:val="Normal"/>
        <w:numPr>
          <w:ilvl w:val="1"/>
          <w:numId w:val="18"/>
        </w:numPr>
        <w:ind w:left="1440" w:right="0" w:hanging="360"/>
        <w:jc w:val="both"/>
        <w:rPr/>
      </w:pPr>
      <w:r>
        <w:rPr/>
        <w:t xml:space="preserve">La sécurité concerne essentiellement la prévention et la surveillance du dispositif incendie. </w:t>
      </w:r>
    </w:p>
    <w:p>
      <w:pPr>
        <w:pStyle w:val="Normal"/>
        <w:ind w:left="426" w:right="0" w:hanging="0"/>
        <w:jc w:val="both"/>
        <w:rPr/>
      </w:pPr>
      <w:r>
        <w:rPr/>
      </w:r>
    </w:p>
    <w:p>
      <w:pPr>
        <w:pStyle w:val="Normal"/>
        <w:numPr>
          <w:ilvl w:val="1"/>
          <w:numId w:val="18"/>
        </w:numPr>
        <w:ind w:left="1440" w:right="0" w:hanging="360"/>
        <w:jc w:val="both"/>
        <w:rPr/>
      </w:pPr>
      <w:r>
        <w:rPr/>
        <w:t>La sureté vise à protéger la  résidence et les résidents des intrusions indésirables et de veiller au non-envahissement des résidents par des personnes pouvant profiter de leur vulnérabilité. Un surveillant de nuit assurera la veille nocturne des étages à raison de 5 nuits par semaine ou une astreinte à domicile un jour sur deux + planning en journée, le choix se décidant en fonction de la meilleure opportunité lors de l’embauche du personnel. Ce personnel disposera d’un logement sur place indispensable à une présence régulière.</w:t>
      </w:r>
    </w:p>
    <w:p>
      <w:pPr>
        <w:pStyle w:val="Normal"/>
        <w:ind w:left="360" w:right="0" w:hanging="0"/>
        <w:jc w:val="both"/>
        <w:rPr/>
      </w:pPr>
      <w:r>
        <w:rPr/>
      </w:r>
    </w:p>
    <w:p>
      <w:pPr>
        <w:pStyle w:val="Normal"/>
        <w:numPr>
          <w:ilvl w:val="1"/>
          <w:numId w:val="18"/>
        </w:numPr>
        <w:ind w:left="1440" w:right="0" w:hanging="360"/>
        <w:jc w:val="both"/>
        <w:rPr/>
      </w:pPr>
      <w:r>
        <w:rPr/>
        <w:t xml:space="preserve">La convivialité et le fonctionnement quotidien de la résidence seront assurés par une conseillère en économie familiale et sociale et un/une maitresse de maison. </w:t>
      </w:r>
    </w:p>
    <w:p>
      <w:pPr>
        <w:pStyle w:val="ListParagraph"/>
        <w:rPr/>
      </w:pPr>
      <w:r>
        <w:rPr/>
      </w:r>
    </w:p>
    <w:p>
      <w:pPr>
        <w:pStyle w:val="Normal"/>
        <w:ind w:left="426" w:right="0" w:hanging="0"/>
        <w:jc w:val="both"/>
        <w:rPr/>
      </w:pPr>
      <w:r>
        <w:rPr/>
      </w:r>
    </w:p>
    <w:p>
      <w:pPr>
        <w:pStyle w:val="Normal"/>
        <w:ind w:left="426" w:right="0" w:hanging="0"/>
        <w:jc w:val="both"/>
        <w:rPr/>
      </w:pPr>
      <w:r>
        <w:rPr/>
        <w:t>La conseillère en économie sociale et familiale sera en charge de l’organisation de la vie de la résidence, de la planification avec les résidents des temps de convivialité et des animations, mais aussi principalement en charge de la coordination avec les services d’accompagnement dont le SAMSAH. Elle organisera des réunions régulières entre membres de la résidence, mais aussi avec les représentants du SAMSAH pour suivre l’évolution des résidents et engager les actions appropriées pour résoudre les problèmes individuels ou collectifs qui pourraient se poser. A cet effet, la résidence-accueil mettra en place un cahier de liaison numérique entre les acteurs concernés pour faciliter l’information et éviter sa dispersion.</w:t>
      </w:r>
    </w:p>
    <w:p>
      <w:pPr>
        <w:pStyle w:val="Normal"/>
        <w:ind w:left="426" w:right="0" w:hanging="0"/>
        <w:jc w:val="both"/>
        <w:rPr/>
      </w:pPr>
      <w:r>
        <w:rPr/>
      </w:r>
    </w:p>
    <w:p>
      <w:pPr>
        <w:pStyle w:val="Normal"/>
        <w:ind w:left="426" w:right="0" w:hanging="0"/>
        <w:jc w:val="both"/>
        <w:rPr/>
      </w:pPr>
      <w:r>
        <w:rPr/>
        <w:t>Maitre ou maitresse de maison est une fonction principalement au service de la dimension hôtelière de la résidence-accueil. La bonne tenue des parties communes, leur attrait en terme de convivialité, le passage dans les logements pour se tenir à l’écoute des besoins et difficultés des résidents en matière de domesticité, la préparation de collations à prendre en commun, la participation à des actions individuelles ou collectives avec les services d’accompagnement et en particulier du SAMSAH  constituent l’esprit des activités de ce personnel.</w:t>
      </w:r>
    </w:p>
    <w:p>
      <w:pPr>
        <w:pStyle w:val="Normal"/>
        <w:ind w:right="0" w:hanging="0"/>
        <w:jc w:val="both"/>
        <w:rPr/>
      </w:pPr>
      <w:r>
        <w:rPr/>
      </w:r>
    </w:p>
    <w:p>
      <w:pPr>
        <w:pStyle w:val="Normal"/>
        <w:spacing w:lineRule="auto" w:line="276" w:before="0" w:after="200"/>
        <w:rPr/>
      </w:pPr>
      <w:r>
        <w:rPr/>
      </w:r>
      <w:r>
        <w:br w:type="page"/>
      </w:r>
    </w:p>
    <w:p>
      <w:pPr>
        <w:pStyle w:val="Normal"/>
        <w:ind w:right="0" w:hanging="0"/>
        <w:jc w:val="both"/>
        <w:rPr/>
      </w:pPr>
      <w:r>
        <w:rPr/>
      </w:r>
    </w:p>
    <w:p>
      <w:pPr>
        <w:pStyle w:val="Normal"/>
        <w:ind w:left="425" w:right="0" w:hanging="0"/>
        <w:jc w:val="both"/>
        <w:rPr/>
      </w:pPr>
      <w:r>
        <w:rPr/>
      </w:r>
    </w:p>
    <w:tbl>
      <w:tblPr>
        <w:tblW w:w="8990" w:type="dxa"/>
        <w:jc w:val="left"/>
        <w:tblInd w:w="55" w:type="dxa"/>
        <w:tblBorders>
          <w:top w:val="single" w:sz="8" w:space="0" w:color="00000A"/>
          <w:left w:val="single" w:sz="8" w:space="0" w:color="00000A"/>
          <w:right w:val="single" w:sz="8" w:space="0" w:color="00000A"/>
          <w:insideV w:val="single" w:sz="8" w:space="0" w:color="00000A"/>
        </w:tblBorders>
        <w:tblCellMar>
          <w:top w:w="0" w:type="dxa"/>
          <w:left w:w="60" w:type="dxa"/>
          <w:bottom w:w="0" w:type="dxa"/>
          <w:right w:w="70" w:type="dxa"/>
        </w:tblCellMar>
        <w:tblLook w:firstRow="1" w:noVBand="1" w:lastRow="0" w:firstColumn="1" w:lastColumn="0" w:noHBand="0" w:val="04a0"/>
      </w:tblPr>
      <w:tblGrid>
        <w:gridCol w:w="1486"/>
        <w:gridCol w:w="918"/>
        <w:gridCol w:w="1183"/>
        <w:gridCol w:w="1639"/>
        <w:gridCol w:w="2"/>
        <w:gridCol w:w="1180"/>
        <w:gridCol w:w="1"/>
        <w:gridCol w:w="1120"/>
        <w:gridCol w:w="1"/>
        <w:gridCol w:w="1459"/>
      </w:tblGrid>
      <w:tr>
        <w:trPr>
          <w:trHeight w:val="300" w:hRule="atLeast"/>
        </w:trPr>
        <w:tc>
          <w:tcPr>
            <w:tcW w:w="8989" w:type="dxa"/>
            <w:gridSpan w:val="10"/>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709" w:hanging="0"/>
              <w:jc w:val="center"/>
              <w:rPr>
                <w:b/>
                <w:b/>
                <w:bCs/>
                <w:color w:val="000000"/>
                <w:sz w:val="22"/>
                <w:szCs w:val="22"/>
              </w:rPr>
            </w:pPr>
            <w:r>
              <w:rPr>
                <w:b/>
                <w:bCs/>
                <w:color w:val="000000"/>
                <w:sz w:val="22"/>
                <w:szCs w:val="22"/>
              </w:rPr>
              <w:t>EXEMPLE DE PLANNING PREVISIONNEL DES HOTES</w:t>
            </w:r>
          </w:p>
        </w:tc>
      </w:tr>
      <w:tr>
        <w:trPr>
          <w:trHeight w:val="315"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918"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183"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64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18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12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459" w:type="dxa"/>
            <w:tcBorders>
              <w:left w:val="single" w:sz="8" w:space="0" w:color="00000A"/>
              <w:right w:val="single" w:sz="8" w:space="0" w:color="00000A"/>
              <w:insideV w:val="single" w:sz="8" w:space="0" w:color="00000A"/>
            </w:tcBorders>
            <w:shd w:fill="auto" w:val="clear"/>
            <w:vAlign w:val="bottom"/>
          </w:tcPr>
          <w:p>
            <w:pPr>
              <w:pStyle w:val="Normal"/>
              <w:ind w:left="709" w:hanging="0"/>
              <w:rPr>
                <w:b/>
                <w:b/>
                <w:bCs/>
                <w:color w:val="000000"/>
                <w:sz w:val="22"/>
                <w:szCs w:val="22"/>
              </w:rPr>
            </w:pPr>
            <w:r>
              <w:rPr>
                <w:b/>
                <w:bCs/>
                <w:color w:val="000000"/>
                <w:sz w:val="22"/>
                <w:szCs w:val="22"/>
              </w:rPr>
              <w:t> </w:t>
            </w:r>
          </w:p>
        </w:tc>
      </w:tr>
      <w:tr>
        <w:trPr>
          <w:trHeight w:val="300" w:hRule="atLeast"/>
        </w:trPr>
        <w:tc>
          <w:tcPr>
            <w:tcW w:w="1486"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229" w:hanging="0"/>
              <w:jc w:val="center"/>
              <w:rPr>
                <w:b/>
                <w:b/>
                <w:bCs/>
                <w:color w:val="000000"/>
                <w:sz w:val="22"/>
                <w:szCs w:val="22"/>
              </w:rPr>
            </w:pPr>
            <w:r>
              <w:rPr>
                <w:b/>
                <w:bCs/>
                <w:color w:val="000000"/>
                <w:sz w:val="22"/>
                <w:szCs w:val="22"/>
              </w:rPr>
            </w:r>
          </w:p>
        </w:tc>
        <w:tc>
          <w:tcPr>
            <w:tcW w:w="918"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18" w:hanging="59"/>
              <w:jc w:val="center"/>
              <w:rPr>
                <w:b/>
                <w:b/>
                <w:bCs/>
                <w:color w:val="000000"/>
                <w:sz w:val="22"/>
                <w:szCs w:val="22"/>
              </w:rPr>
            </w:pPr>
            <w:r>
              <w:rPr>
                <w:b/>
                <w:bCs/>
                <w:color w:val="000000"/>
                <w:sz w:val="22"/>
                <w:szCs w:val="22"/>
              </w:rPr>
              <w:t>matin</w:t>
            </w:r>
          </w:p>
        </w:tc>
        <w:tc>
          <w:tcPr>
            <w:tcW w:w="1183"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229" w:hanging="0"/>
              <w:jc w:val="center"/>
              <w:rPr>
                <w:b/>
                <w:b/>
                <w:bCs/>
                <w:color w:val="000000"/>
                <w:sz w:val="22"/>
                <w:szCs w:val="22"/>
              </w:rPr>
            </w:pPr>
            <w:r>
              <w:rPr>
                <w:b/>
                <w:bCs/>
                <w:color w:val="000000"/>
                <w:sz w:val="22"/>
                <w:szCs w:val="22"/>
              </w:rPr>
            </w:r>
          </w:p>
        </w:tc>
        <w:tc>
          <w:tcPr>
            <w:tcW w:w="1641" w:type="dxa"/>
            <w:gridSpan w:val="2"/>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après-midi</w:t>
            </w:r>
          </w:p>
        </w:tc>
        <w:tc>
          <w:tcPr>
            <w:tcW w:w="1181" w:type="dxa"/>
            <w:gridSpan w:val="2"/>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229" w:hanging="0"/>
              <w:jc w:val="center"/>
              <w:rPr>
                <w:b/>
                <w:b/>
                <w:bCs/>
                <w:color w:val="000000"/>
                <w:sz w:val="22"/>
                <w:szCs w:val="22"/>
              </w:rPr>
            </w:pPr>
            <w:r>
              <w:rPr>
                <w:b/>
                <w:bCs/>
                <w:color w:val="000000"/>
                <w:sz w:val="22"/>
                <w:szCs w:val="22"/>
              </w:rPr>
            </w:r>
          </w:p>
        </w:tc>
        <w:tc>
          <w:tcPr>
            <w:tcW w:w="1121" w:type="dxa"/>
            <w:gridSpan w:val="2"/>
            <w:tcBorders>
              <w:top w:val="single" w:sz="8" w:space="0" w:color="00000A"/>
              <w:left w:val="single" w:sz="8" w:space="0" w:color="00000A"/>
              <w:right w:val="single" w:sz="8" w:space="0" w:color="00000A"/>
              <w:insideV w:val="single" w:sz="8" w:space="0" w:color="00000A"/>
            </w:tcBorders>
            <w:shd w:fill="auto" w:val="clear"/>
            <w:vAlign w:val="bottom"/>
          </w:tcPr>
          <w:p>
            <w:pPr>
              <w:pStyle w:val="Normal"/>
              <w:jc w:val="center"/>
              <w:rPr>
                <w:b/>
                <w:b/>
                <w:bCs/>
                <w:color w:val="000000"/>
                <w:sz w:val="22"/>
                <w:szCs w:val="22"/>
              </w:rPr>
            </w:pPr>
            <w:r>
              <w:rPr>
                <w:b/>
                <w:bCs/>
                <w:color w:val="000000"/>
                <w:sz w:val="22"/>
                <w:szCs w:val="22"/>
              </w:rPr>
              <w:t>nuit</w:t>
            </w:r>
          </w:p>
        </w:tc>
        <w:tc>
          <w:tcPr>
            <w:tcW w:w="1459"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ind w:left="709" w:hanging="0"/>
              <w:jc w:val="center"/>
              <w:rPr>
                <w:b/>
                <w:b/>
                <w:bCs/>
                <w:color w:val="000000"/>
                <w:sz w:val="22"/>
                <w:szCs w:val="22"/>
              </w:rPr>
            </w:pPr>
            <w:r>
              <w:rPr>
                <w:b/>
                <w:bCs/>
                <w:color w:val="000000"/>
                <w:sz w:val="22"/>
                <w:szCs w:val="22"/>
              </w:rPr>
            </w:r>
          </w:p>
        </w:tc>
      </w:tr>
      <w:tr>
        <w:trPr>
          <w:trHeight w:val="315" w:hRule="atLeast"/>
        </w:trPr>
        <w:tc>
          <w:tcPr>
            <w:tcW w:w="1486"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91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r>
          </w:p>
        </w:tc>
        <w:tc>
          <w:tcPr>
            <w:tcW w:w="1183"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1641" w:type="dxa"/>
            <w:gridSpan w:val="2"/>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1181" w:type="dxa"/>
            <w:gridSpan w:val="2"/>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1121" w:type="dxa"/>
            <w:gridSpan w:val="2"/>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 </w:t>
            </w:r>
          </w:p>
        </w:tc>
        <w:tc>
          <w:tcPr>
            <w:tcW w:w="14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709" w:hanging="0"/>
              <w:rPr>
                <w:b/>
                <w:b/>
                <w:bCs/>
                <w:color w:val="000000"/>
                <w:sz w:val="22"/>
                <w:szCs w:val="22"/>
              </w:rPr>
            </w:pPr>
            <w:r>
              <w:rPr>
                <w:b/>
                <w:bCs/>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lundi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7h 12h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mardi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mercredi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7h/14h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jeudi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7h/14h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vendredi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7h/16h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samedi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11h/21h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dimanche</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11h/21h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lundi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mardi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mercredi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12h/21h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jeudi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vendredi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7h/14h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CESF</w:t>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13h/21h</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300" w:hRule="atLeas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samedi</w:t>
            </w:r>
          </w:p>
        </w:tc>
        <w:tc>
          <w:tcPr>
            <w:tcW w:w="918" w:type="dxa"/>
            <w:tcBorders>
              <w:top w:val="single" w:sz="4"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11h/21h</w:t>
            </w:r>
          </w:p>
        </w:tc>
        <w:tc>
          <w:tcPr>
            <w:tcW w:w="164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r>
          </w:p>
        </w:tc>
        <w:tc>
          <w:tcPr>
            <w:tcW w:w="11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ind w:left="229" w:hanging="0"/>
              <w:jc w:val="center"/>
              <w:rPr>
                <w:color w:val="000000"/>
                <w:sz w:val="22"/>
                <w:szCs w:val="22"/>
              </w:rPr>
            </w:pPr>
            <w:r>
              <w:rPr>
                <w:color w:val="000000"/>
                <w:sz w:val="22"/>
                <w:szCs w:val="22"/>
              </w:rPr>
              <w:t>SN</w:t>
            </w:r>
          </w:p>
        </w:tc>
        <w:tc>
          <w:tcPr>
            <w:tcW w:w="1459"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21h/6h</w:t>
            </w:r>
          </w:p>
        </w:tc>
      </w:tr>
      <w:tr>
        <w:trPr>
          <w:trHeight w:val="315" w:hRule="atLeast"/>
        </w:trPr>
        <w:tc>
          <w:tcPr>
            <w:tcW w:w="1486"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dimanche</w:t>
            </w:r>
          </w:p>
        </w:tc>
        <w:tc>
          <w:tcPr>
            <w:tcW w:w="918" w:type="dxa"/>
            <w:tcBorders>
              <w:top w:val="single" w:sz="8" w:space="0" w:color="00000A"/>
              <w:left w:val="single" w:sz="8" w:space="0" w:color="00000A"/>
              <w:bottom w:val="single" w:sz="8" w:space="0" w:color="00000A"/>
              <w:right w:val="single" w:sz="4" w:space="0" w:color="00000A"/>
              <w:insideH w:val="single" w:sz="8"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MM</w:t>
            </w:r>
          </w:p>
        </w:tc>
        <w:tc>
          <w:tcPr>
            <w:tcW w:w="1183" w:type="dxa"/>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11h/21h</w:t>
            </w:r>
          </w:p>
        </w:tc>
        <w:tc>
          <w:tcPr>
            <w:tcW w:w="1641" w:type="dxa"/>
            <w:gridSpan w:val="2"/>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81" w:type="dxa"/>
            <w:gridSpan w:val="2"/>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121" w:type="dxa"/>
            <w:gridSpan w:val="2"/>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vAlign w:val="bottom"/>
          </w:tcPr>
          <w:p>
            <w:pPr>
              <w:pStyle w:val="Normal"/>
              <w:ind w:left="229" w:hanging="0"/>
              <w:rPr>
                <w:color w:val="000000"/>
                <w:sz w:val="22"/>
                <w:szCs w:val="22"/>
              </w:rPr>
            </w:pPr>
            <w:r>
              <w:rPr>
                <w:color w:val="000000"/>
                <w:sz w:val="22"/>
                <w:szCs w:val="22"/>
              </w:rPr>
              <w:t> </w:t>
            </w:r>
          </w:p>
        </w:tc>
        <w:tc>
          <w:tcPr>
            <w:tcW w:w="14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t> </w:t>
            </w:r>
          </w:p>
        </w:tc>
      </w:tr>
      <w:tr>
        <w:trPr>
          <w:trHeight w:val="23" w:hRule="exact"/>
        </w:trPr>
        <w:tc>
          <w:tcPr>
            <w:tcW w:w="1486" w:type="dxa"/>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918" w:type="dxa"/>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83" w:type="dxa"/>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64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8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2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459" w:type="dxa"/>
            <w:tcBorders>
              <w:left w:val="single" w:sz="8" w:space="0" w:color="00000A"/>
              <w:right w:val="single" w:sz="8"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r>
          </w:p>
        </w:tc>
      </w:tr>
      <w:tr>
        <w:trPr>
          <w:trHeight w:val="300" w:hRule="atLeast"/>
        </w:trPr>
        <w:tc>
          <w:tcPr>
            <w:tcW w:w="3587" w:type="dxa"/>
            <w:gridSpan w:val="3"/>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MM: maitre/maitresse de maison</w:t>
            </w:r>
          </w:p>
        </w:tc>
        <w:tc>
          <w:tcPr>
            <w:tcW w:w="164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8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2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459" w:type="dxa"/>
            <w:tcBorders>
              <w:left w:val="single" w:sz="8" w:space="0" w:color="00000A"/>
              <w:right w:val="single" w:sz="8"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r>
          </w:p>
        </w:tc>
      </w:tr>
      <w:tr>
        <w:trPr>
          <w:trHeight w:val="300" w:hRule="atLeast"/>
        </w:trPr>
        <w:tc>
          <w:tcPr>
            <w:tcW w:w="5226" w:type="dxa"/>
            <w:gridSpan w:val="4"/>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CESF: conseillère en économie sociale et familiale</w:t>
            </w:r>
          </w:p>
        </w:tc>
        <w:tc>
          <w:tcPr>
            <w:tcW w:w="1182"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121" w:type="dxa"/>
            <w:gridSpan w:val="2"/>
            <w:tcBorders>
              <w:left w:val="single" w:sz="8" w:space="0" w:color="00000A"/>
              <w:right w:val="single" w:sz="8" w:space="0" w:color="00000A"/>
              <w:insideV w:val="single" w:sz="8" w:space="0" w:color="00000A"/>
            </w:tcBorders>
            <w:shd w:fill="auto" w:val="clear"/>
            <w:vAlign w:val="bottom"/>
          </w:tcPr>
          <w:p>
            <w:pPr>
              <w:pStyle w:val="Normal"/>
              <w:ind w:left="229" w:hanging="0"/>
              <w:rPr>
                <w:color w:val="000000"/>
                <w:sz w:val="22"/>
                <w:szCs w:val="22"/>
              </w:rPr>
            </w:pPr>
            <w:r>
              <w:rPr>
                <w:color w:val="000000"/>
                <w:sz w:val="22"/>
                <w:szCs w:val="22"/>
              </w:rPr>
            </w:r>
          </w:p>
        </w:tc>
        <w:tc>
          <w:tcPr>
            <w:tcW w:w="1460" w:type="dxa"/>
            <w:gridSpan w:val="2"/>
            <w:tcBorders>
              <w:left w:val="single" w:sz="8" w:space="0" w:color="00000A"/>
              <w:right w:val="single" w:sz="8"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r>
          </w:p>
        </w:tc>
      </w:tr>
      <w:tr>
        <w:trPr>
          <w:trHeight w:val="300" w:hRule="atLeast"/>
        </w:trPr>
        <w:tc>
          <w:tcPr>
            <w:tcW w:w="7529" w:type="dxa"/>
            <w:gridSpan w:val="8"/>
            <w:tcBorders>
              <w:left w:val="single" w:sz="8" w:space="0" w:color="00000A"/>
              <w:right w:val="single" w:sz="8" w:space="0" w:color="00000A"/>
              <w:insideV w:val="single" w:sz="8" w:space="0" w:color="00000A"/>
            </w:tcBorders>
            <w:shd w:fill="auto" w:val="clear"/>
            <w:vAlign w:val="bottom"/>
          </w:tcPr>
          <w:p>
            <w:pPr>
              <w:pStyle w:val="Normal"/>
              <w:ind w:left="229" w:hanging="0"/>
              <w:rPr>
                <w:b/>
                <w:b/>
                <w:bCs/>
                <w:color w:val="000000"/>
                <w:sz w:val="22"/>
                <w:szCs w:val="22"/>
              </w:rPr>
            </w:pPr>
            <w:r>
              <w:rPr>
                <w:b/>
                <w:bCs/>
                <w:color w:val="000000"/>
                <w:sz w:val="22"/>
                <w:szCs w:val="22"/>
              </w:rPr>
              <w:t>SN: surveillant de nuit, effectuant une astreinte sur place 1 jour/2</w:t>
            </w:r>
          </w:p>
        </w:tc>
        <w:tc>
          <w:tcPr>
            <w:tcW w:w="1460" w:type="dxa"/>
            <w:gridSpan w:val="2"/>
            <w:tcBorders>
              <w:left w:val="single" w:sz="8" w:space="0" w:color="00000A"/>
              <w:right w:val="single" w:sz="8" w:space="0" w:color="00000A"/>
              <w:insideV w:val="single" w:sz="8" w:space="0" w:color="00000A"/>
            </w:tcBorders>
            <w:shd w:fill="auto" w:val="clear"/>
            <w:vAlign w:val="bottom"/>
          </w:tcPr>
          <w:p>
            <w:pPr>
              <w:pStyle w:val="Normal"/>
              <w:ind w:left="709" w:hanging="0"/>
              <w:rPr>
                <w:color w:val="000000"/>
                <w:sz w:val="22"/>
                <w:szCs w:val="22"/>
              </w:rPr>
            </w:pPr>
            <w:r>
              <w:rPr>
                <w:color w:val="000000"/>
                <w:sz w:val="22"/>
                <w:szCs w:val="22"/>
              </w:rPr>
            </w:r>
          </w:p>
        </w:tc>
      </w:tr>
    </w:tbl>
    <w:p>
      <w:pPr>
        <w:pStyle w:val="Normal"/>
        <w:ind w:left="709" w:right="0" w:hanging="0"/>
        <w:jc w:val="both"/>
        <w:rPr/>
      </w:pPr>
      <w:r>
        <w:rPr/>
      </w:r>
    </w:p>
    <w:p>
      <w:pPr>
        <w:pStyle w:val="Normal"/>
        <w:ind w:left="709" w:right="0" w:hanging="0"/>
        <w:jc w:val="both"/>
        <w:rPr/>
      </w:pPr>
      <w:r>
        <w:rPr/>
      </w:r>
    </w:p>
    <w:p>
      <w:pPr>
        <w:pStyle w:val="Normal"/>
        <w:ind w:left="709" w:right="0" w:hanging="0"/>
        <w:jc w:val="both"/>
        <w:rPr/>
      </w:pPr>
      <w:r>
        <w:rPr/>
        <w:t xml:space="preserve"> </w:t>
      </w:r>
    </w:p>
    <w:p>
      <w:pPr>
        <w:pStyle w:val="Normal"/>
        <w:numPr>
          <w:ilvl w:val="1"/>
          <w:numId w:val="2"/>
        </w:numPr>
        <w:ind w:left="720" w:right="0" w:hanging="360"/>
        <w:jc w:val="both"/>
        <w:rPr>
          <w:b/>
          <w:b/>
          <w:bCs/>
        </w:rPr>
      </w:pPr>
      <w:r>
        <w:rPr>
          <w:b/>
          <w:bCs/>
        </w:rPr>
        <w:t>L’hébergement</w:t>
      </w:r>
    </w:p>
    <w:p>
      <w:pPr>
        <w:pStyle w:val="Normal"/>
        <w:ind w:left="720" w:right="0" w:hanging="0"/>
        <w:jc w:val="both"/>
        <w:rPr>
          <w:b/>
          <w:b/>
          <w:bCs/>
        </w:rPr>
      </w:pPr>
      <w:r>
        <w:rPr>
          <w:b/>
          <w:bCs/>
        </w:rPr>
      </w:r>
    </w:p>
    <w:p>
      <w:pPr>
        <w:pStyle w:val="Normal"/>
        <w:ind w:left="360" w:right="0" w:hanging="0"/>
        <w:jc w:val="both"/>
        <w:rPr/>
      </w:pPr>
      <w:r>
        <w:rPr/>
        <w:t>Un peu comme lorsque,  plus haut, nous avons réparti les personnes en 3 groupes d’évolution, il y a lieu de constater qu’une partie des personnes sujettes à des troubles psychiatriques ne rencontrent aucun problème avec leur logement personnel, que ce soit en terme de troubles de voisinage, d’incurie ou de difficulté à l’organisation ou à supporter la solitude.</w:t>
      </w:r>
    </w:p>
    <w:p>
      <w:pPr>
        <w:pStyle w:val="Normal"/>
        <w:ind w:left="360" w:right="0" w:hanging="0"/>
        <w:jc w:val="both"/>
        <w:rPr/>
      </w:pPr>
      <w:r>
        <w:rPr/>
      </w:r>
    </w:p>
    <w:p>
      <w:pPr>
        <w:pStyle w:val="Normal"/>
        <w:ind w:left="360" w:right="0" w:hanging="0"/>
        <w:jc w:val="both"/>
        <w:rPr/>
      </w:pPr>
      <w:r>
        <w:rPr/>
        <w:t>Une autre partie des personnes fragilisées par les difficultés psychiques peut vivre de façon autonome dans un logement personnel mais avec des aides qui vont d’un service d’accompagnement à la vie sociale jusqu’à la venue régulière d’une aide-ménagère. Il s’agit de compléter un manque d’habilités tel que ménage, confection des repas, gestion administrative ou financière, rangement…</w:t>
      </w:r>
    </w:p>
    <w:p>
      <w:pPr>
        <w:pStyle w:val="Normal"/>
        <w:ind w:left="360" w:right="0" w:hanging="0"/>
        <w:jc w:val="both"/>
        <w:rPr/>
      </w:pPr>
      <w:r>
        <w:rPr/>
      </w:r>
    </w:p>
    <w:p>
      <w:pPr>
        <w:pStyle w:val="Normal"/>
        <w:ind w:left="360" w:right="0" w:hanging="0"/>
        <w:jc w:val="both"/>
        <w:rPr/>
      </w:pPr>
      <w:r>
        <w:rPr/>
        <w:t>Enfin, une partie de ce public se met en danger, immédiatement ou à terme, en ne pouvant gérer suffisamment d’aspect de la vie domestique : entretien de soi, du logement, organisation personnelle, conduite à risques, problème d’adaptation à la solitude.</w:t>
      </w:r>
    </w:p>
    <w:p>
      <w:pPr>
        <w:pStyle w:val="Normal"/>
        <w:ind w:left="360" w:right="0" w:hanging="0"/>
        <w:jc w:val="both"/>
        <w:rPr/>
      </w:pPr>
      <w:r>
        <w:rPr/>
        <w:t>Il est indispensable que chaque personne soit adressée vers une orientation qui réponde à son niveau de capacité, ni trop plus, ni trop moins, afin qu’elle soit suffisamment investie de l’envie de gérer mais qu’en même temps, elle soit encouragée par le constat de son adaptation.</w:t>
      </w:r>
    </w:p>
    <w:p>
      <w:pPr>
        <w:pStyle w:val="Normal"/>
        <w:ind w:left="360" w:right="0" w:hanging="0"/>
        <w:jc w:val="both"/>
        <w:rPr/>
      </w:pPr>
      <w:r>
        <w:rPr/>
        <w:t>Il appartient donc aux travailleurs sociaux de déterminer les soutiens utiles dans chaque situation. Le plus souvent, le résident est aidé  par les équipes du SAMSAH ou du SAVS dans la mise en route des tâches domestiques : aide à la réalisation des courses, au ménage, à l’entretien du linge. Lorsque la réalisation des tâches domestiques est plus difficile à acquérir, un soutien plus précis pourra être mis en place avec la  participation d’un agent d’entretien du service d’accompagnement, lequel procèdera aux petites réparations et entretien courant. Lorsque la mise en œuvre des tâches domestiques posera des problèmes tels qu’ils mettront en péril le maintien dans le logement, l’intervention de personnel spécifique sera envisagée (aide-ménagère, portage de repas) avec le résident et ses représentants (curateur, famille), mis en place, avec un accueil et un accompagnement des intervenants.</w:t>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t xml:space="preserve">Pour réaliser ce projet d’accompagnement, tous les acteurs seront garants des interactions du réseau autour de la personne dans le cadre d’un suivi et attentifs, sans être intrusifs, à la coordination des acteurs du réseau. Ce réseau, mobilisé autour de la personne qui en constitue le centre, devient performant grâce à la somme et à la complémentarité des interventions pour lesquelles chacun conserve sa spécialité et sa compétence, sans avoir à engager une prise en charge globale, qui même si elle peut paraître pratique ou séduisante, présente un risque d’enfermement ou totalitaire.   </w:t>
      </w:r>
    </w:p>
    <w:p>
      <w:pPr>
        <w:pStyle w:val="Normal"/>
        <w:ind w:left="0" w:right="0" w:hanging="0"/>
        <w:jc w:val="both"/>
        <w:rPr/>
      </w:pPr>
      <w:r>
        <w:rPr/>
        <w:t xml:space="preserve"> </w:t>
      </w:r>
    </w:p>
    <w:p>
      <w:pPr>
        <w:pStyle w:val="Normal"/>
        <w:ind w:left="0" w:right="0" w:hanging="0"/>
        <w:jc w:val="both"/>
        <w:rPr/>
      </w:pPr>
      <w:r>
        <w:rPr/>
        <w:t xml:space="preserve">              </w:t>
      </w:r>
    </w:p>
    <w:p>
      <w:pPr>
        <w:pStyle w:val="ListParagraph"/>
        <w:numPr>
          <w:ilvl w:val="0"/>
          <w:numId w:val="2"/>
        </w:numPr>
        <w:tabs>
          <w:tab w:val="clear" w:pos="708"/>
          <w:tab w:val="left" w:pos="5190" w:leader="none"/>
        </w:tabs>
        <w:ind w:left="360" w:right="0" w:hanging="360"/>
        <w:rPr>
          <w:b/>
          <w:b/>
        </w:rPr>
      </w:pPr>
      <w:r>
        <w:rPr>
          <w:b/>
        </w:rPr>
        <w:t xml:space="preserve"> </w:t>
      </w:r>
      <w:r>
        <w:rPr>
          <w:b/>
        </w:rPr>
        <w:t>LES ACTEURS DU SOUTIEN AUX RESIDENTS</w:t>
      </w:r>
    </w:p>
    <w:p>
      <w:pPr>
        <w:pStyle w:val="Normal"/>
        <w:tabs>
          <w:tab w:val="clear" w:pos="708"/>
          <w:tab w:val="left" w:pos="5190" w:leader="none"/>
        </w:tabs>
        <w:ind w:right="0" w:hanging="0"/>
        <w:rPr>
          <w:b/>
          <w:b/>
        </w:rPr>
      </w:pPr>
      <w:r>
        <w:rPr>
          <w:b/>
        </w:rPr>
      </w:r>
    </w:p>
    <w:p>
      <w:pPr>
        <w:pStyle w:val="Normal"/>
        <w:ind w:left="294" w:right="0" w:hanging="0"/>
        <w:jc w:val="both"/>
        <w:rPr/>
      </w:pPr>
      <w:r>
        <w:rPr/>
      </w:r>
    </w:p>
    <w:p>
      <w:pPr>
        <w:pStyle w:val="ListParagraph"/>
        <w:keepNext w:val="true"/>
        <w:numPr>
          <w:ilvl w:val="1"/>
          <w:numId w:val="2"/>
        </w:numPr>
        <w:ind w:left="720" w:right="0" w:hanging="360"/>
        <w:jc w:val="both"/>
        <w:outlineLvl w:val="0"/>
        <w:rPr>
          <w:b/>
          <w:b/>
          <w:bCs/>
        </w:rPr>
      </w:pPr>
      <w:r>
        <w:rPr>
          <w:b/>
          <w:bCs/>
        </w:rPr>
        <w:t>Les hôtes</w:t>
      </w:r>
    </w:p>
    <w:p>
      <w:pPr>
        <w:pStyle w:val="Normal"/>
        <w:ind w:left="294" w:right="0" w:hanging="0"/>
        <w:jc w:val="both"/>
        <w:rPr/>
      </w:pPr>
      <w:r>
        <w:rPr/>
      </w:r>
    </w:p>
    <w:p>
      <w:pPr>
        <w:pStyle w:val="Normal"/>
        <w:ind w:left="294" w:right="0" w:hanging="0"/>
        <w:jc w:val="both"/>
        <w:rPr/>
      </w:pPr>
      <w:r>
        <w:rPr/>
        <w:t xml:space="preserve">Pour rappel, la </w:t>
      </w:r>
      <w:r>
        <w:rPr>
          <w:bCs/>
        </w:rPr>
        <w:t>note d’information DGAS/PIA/PHAN n</w:t>
      </w:r>
      <w:r>
        <w:rPr>
          <w:bCs/>
          <w:vertAlign w:val="superscript"/>
        </w:rPr>
        <w:t>o</w:t>
      </w:r>
      <w:r>
        <w:rPr>
          <w:bCs/>
        </w:rPr>
        <w:t> 2006-523 du 16 novembre 2006 prévoit au moins un couple d’hôtes dans la résidence. Il est convenu qu’il ne s’agit pas d’un couple au sens matrimonial, mais de deux professionnels pouvant se relayer dans leur mission commune.</w:t>
      </w:r>
    </w:p>
    <w:p>
      <w:pPr>
        <w:pStyle w:val="Normal"/>
        <w:ind w:left="294" w:right="0" w:hanging="0"/>
        <w:jc w:val="both"/>
        <w:rPr/>
      </w:pPr>
      <w:r>
        <w:rPr/>
        <w:t>Leur rôle, déjà présenté plus haut consistera essentiellement à organiser la vie de la résidence sur le volet de la convivialité, de l’accueil, de l’échange et de la résolution des problèmes d’intendance qui pourraient se poser. Ces professionnels, CESF et maitre/-esse de maison sera en charge :</w:t>
      </w:r>
    </w:p>
    <w:p>
      <w:pPr>
        <w:pStyle w:val="Normal"/>
        <w:ind w:left="294" w:right="0" w:hanging="0"/>
        <w:jc w:val="both"/>
        <w:rPr/>
      </w:pPr>
      <w:r>
        <w:rPr/>
      </w:r>
    </w:p>
    <w:p>
      <w:pPr>
        <w:pStyle w:val="Normal"/>
        <w:numPr>
          <w:ilvl w:val="0"/>
          <w:numId w:val="1"/>
        </w:numPr>
        <w:tabs>
          <w:tab w:val="clear" w:pos="708"/>
          <w:tab w:val="left" w:pos="2160" w:leader="none"/>
        </w:tabs>
        <w:ind w:left="1080" w:right="0" w:hanging="360"/>
        <w:jc w:val="both"/>
        <w:rPr/>
      </w:pPr>
      <w:r>
        <w:rPr/>
        <w:t>De la décoration des locaux</w:t>
      </w:r>
    </w:p>
    <w:p>
      <w:pPr>
        <w:pStyle w:val="Normal"/>
        <w:numPr>
          <w:ilvl w:val="0"/>
          <w:numId w:val="1"/>
        </w:numPr>
        <w:tabs>
          <w:tab w:val="clear" w:pos="708"/>
          <w:tab w:val="left" w:pos="2160" w:leader="none"/>
        </w:tabs>
        <w:ind w:left="1080" w:right="0" w:hanging="360"/>
        <w:jc w:val="both"/>
        <w:rPr/>
      </w:pPr>
      <w:r>
        <w:rPr/>
        <w:t>De l’animation, en particulier sur les parties communes</w:t>
      </w:r>
    </w:p>
    <w:p>
      <w:pPr>
        <w:pStyle w:val="Normal"/>
        <w:numPr>
          <w:ilvl w:val="0"/>
          <w:numId w:val="1"/>
        </w:numPr>
        <w:tabs>
          <w:tab w:val="clear" w:pos="708"/>
          <w:tab w:val="left" w:pos="2160" w:leader="none"/>
        </w:tabs>
        <w:ind w:left="1080" w:right="0" w:hanging="360"/>
        <w:jc w:val="both"/>
        <w:rPr/>
      </w:pPr>
      <w:r>
        <w:rPr/>
        <w:t>Des relations avec les partenaires dont essentiellement la coordination avec les services d’accompagnement et le secteur psychiatrique</w:t>
      </w:r>
    </w:p>
    <w:p>
      <w:pPr>
        <w:pStyle w:val="Normal"/>
        <w:numPr>
          <w:ilvl w:val="0"/>
          <w:numId w:val="1"/>
        </w:numPr>
        <w:tabs>
          <w:tab w:val="clear" w:pos="708"/>
          <w:tab w:val="left" w:pos="2160" w:leader="none"/>
        </w:tabs>
        <w:ind w:left="1080" w:right="0" w:hanging="360"/>
        <w:jc w:val="both"/>
        <w:rPr/>
      </w:pPr>
      <w:r>
        <w:rPr/>
        <w:t>Des échanges entre les locataires</w:t>
      </w:r>
    </w:p>
    <w:p>
      <w:pPr>
        <w:pStyle w:val="Normal"/>
        <w:numPr>
          <w:ilvl w:val="0"/>
          <w:numId w:val="1"/>
        </w:numPr>
        <w:tabs>
          <w:tab w:val="clear" w:pos="708"/>
          <w:tab w:val="left" w:pos="2160" w:leader="none"/>
        </w:tabs>
        <w:ind w:left="1080" w:right="0" w:hanging="360"/>
        <w:jc w:val="both"/>
        <w:rPr/>
      </w:pPr>
      <w:r>
        <w:rPr/>
        <w:t>Du soutien concret dans certaines tâches domestiques (buanderie, cuisine…)</w:t>
      </w:r>
    </w:p>
    <w:p>
      <w:pPr>
        <w:pStyle w:val="Normal"/>
        <w:numPr>
          <w:ilvl w:val="0"/>
          <w:numId w:val="1"/>
        </w:numPr>
        <w:tabs>
          <w:tab w:val="clear" w:pos="708"/>
          <w:tab w:val="left" w:pos="2160" w:leader="none"/>
        </w:tabs>
        <w:ind w:left="1080" w:right="0" w:hanging="360"/>
        <w:jc w:val="both"/>
        <w:rPr/>
      </w:pPr>
      <w:r>
        <w:rPr/>
        <w:t>De la présence accueillante en début et fin de journée</w:t>
      </w:r>
    </w:p>
    <w:p>
      <w:pPr>
        <w:pStyle w:val="Normal"/>
        <w:numPr>
          <w:ilvl w:val="0"/>
          <w:numId w:val="1"/>
        </w:numPr>
        <w:tabs>
          <w:tab w:val="clear" w:pos="708"/>
          <w:tab w:val="left" w:pos="2160" w:leader="none"/>
        </w:tabs>
        <w:ind w:left="1080" w:right="0" w:hanging="360"/>
        <w:jc w:val="both"/>
        <w:rPr/>
      </w:pPr>
      <w:r>
        <w:rPr/>
        <w:t>De l’accueil des personnes lors de leur retour d’activité de jour,</w:t>
      </w:r>
    </w:p>
    <w:p>
      <w:pPr>
        <w:pStyle w:val="Normal"/>
        <w:numPr>
          <w:ilvl w:val="0"/>
          <w:numId w:val="1"/>
        </w:numPr>
        <w:tabs>
          <w:tab w:val="clear" w:pos="708"/>
          <w:tab w:val="left" w:pos="2160" w:leader="none"/>
        </w:tabs>
        <w:ind w:left="1080" w:right="0" w:hanging="360"/>
        <w:jc w:val="both"/>
        <w:rPr/>
      </w:pPr>
      <w:r>
        <w:rPr/>
        <w:t>De la présence le week-end et d’orientation vers des possibilités de sorties, détentes, loisirs (GEM, activités urbaines, animations dans la résidence…)</w:t>
      </w:r>
    </w:p>
    <w:p>
      <w:pPr>
        <w:pStyle w:val="Normal"/>
        <w:numPr>
          <w:ilvl w:val="0"/>
          <w:numId w:val="1"/>
        </w:numPr>
        <w:tabs>
          <w:tab w:val="clear" w:pos="708"/>
          <w:tab w:val="left" w:pos="2160" w:leader="none"/>
        </w:tabs>
        <w:ind w:left="1080" w:right="0" w:hanging="360"/>
        <w:jc w:val="both"/>
        <w:rPr/>
      </w:pPr>
      <w:r>
        <w:rPr/>
        <w:t>Du quittancement des loyers…</w:t>
      </w:r>
    </w:p>
    <w:p>
      <w:pPr>
        <w:pStyle w:val="Normal"/>
        <w:spacing w:lineRule="auto" w:line="276" w:before="0" w:after="200"/>
        <w:rPr/>
      </w:pPr>
      <w:r>
        <w:rPr/>
      </w:r>
      <w:r>
        <w:br w:type="page"/>
      </w:r>
    </w:p>
    <w:p>
      <w:pPr>
        <w:pStyle w:val="Normal"/>
        <w:ind w:left="720" w:right="0" w:hanging="0"/>
        <w:jc w:val="both"/>
        <w:rPr/>
      </w:pPr>
      <w:r>
        <w:rPr/>
      </w:r>
    </w:p>
    <w:p>
      <w:pPr>
        <w:pStyle w:val="ListParagraph"/>
        <w:numPr>
          <w:ilvl w:val="1"/>
          <w:numId w:val="2"/>
        </w:numPr>
        <w:ind w:left="720" w:right="0" w:hanging="360"/>
        <w:jc w:val="both"/>
        <w:rPr>
          <w:b/>
          <w:b/>
        </w:rPr>
      </w:pPr>
      <w:r>
        <w:rPr>
          <w:b/>
        </w:rPr>
        <w:t>Le surveillant de nuit</w:t>
      </w:r>
    </w:p>
    <w:p>
      <w:pPr>
        <w:pStyle w:val="Normal"/>
        <w:ind w:left="294" w:right="0" w:hanging="0"/>
        <w:jc w:val="both"/>
        <w:rPr>
          <w:b/>
          <w:b/>
        </w:rPr>
      </w:pPr>
      <w:r>
        <w:rPr>
          <w:b/>
        </w:rPr>
      </w:r>
    </w:p>
    <w:p>
      <w:pPr>
        <w:pStyle w:val="Normal"/>
        <w:ind w:left="294" w:right="0" w:hanging="0"/>
        <w:jc w:val="both"/>
        <w:rPr/>
      </w:pPr>
      <w:r>
        <w:rPr/>
        <w:t>Ils assurent le rôle de vigilance en termes de sécurité et sureté. Ils sont disponibles aux résidents le soir pour des échanges rassurants et effectuent des rondes dans les étages pour s’assurer de la tranquillité des lieux. Ils surveillent le dispositif incendie.</w:t>
      </w:r>
    </w:p>
    <w:p>
      <w:pPr>
        <w:pStyle w:val="Normal"/>
        <w:ind w:left="294" w:right="0" w:hanging="0"/>
        <w:jc w:val="both"/>
        <w:rPr/>
      </w:pPr>
      <w:r>
        <w:rPr/>
        <w:t>En cas d’urgence, ils contactent l’astreinte de l’une des structures de l’association.</w:t>
      </w:r>
    </w:p>
    <w:p>
      <w:pPr>
        <w:pStyle w:val="Normal"/>
        <w:ind w:left="294" w:right="0" w:hanging="0"/>
        <w:jc w:val="both"/>
        <w:rPr/>
      </w:pPr>
      <w:r>
        <w:rPr/>
      </w:r>
    </w:p>
    <w:p>
      <w:pPr>
        <w:pStyle w:val="Normal"/>
        <w:ind w:left="294" w:right="0" w:hanging="0"/>
        <w:jc w:val="both"/>
        <w:rPr/>
      </w:pPr>
      <w:r>
        <w:rPr/>
        <w:t xml:space="preserve">Les différents professionnels tiennent un registre numérique des informations utiles et veillent à assurer une liaison qui facilite sans délai la résolution des problèmes individuels ou collectifs. </w:t>
      </w:r>
    </w:p>
    <w:p>
      <w:pPr>
        <w:pStyle w:val="Normal"/>
        <w:ind w:left="294" w:right="0" w:hanging="0"/>
        <w:jc w:val="both"/>
        <w:rPr/>
      </w:pPr>
      <w:r>
        <w:rPr/>
        <w:t>Ils assistent aux diverses réunions qui peuvent être organisées dans l’intérêt de la vie de la résidence ou dans celui des locataires, comme en particulier les réunions avec les services d’accompagnement ou les secteurs.</w:t>
      </w:r>
    </w:p>
    <w:p>
      <w:pPr>
        <w:pStyle w:val="Normal"/>
        <w:ind w:left="294" w:right="0" w:hanging="0"/>
        <w:jc w:val="both"/>
        <w:rPr/>
      </w:pPr>
      <w:r>
        <w:rPr/>
        <w:t>Dans ce cas ils sont soumis aux obligations concernant l’obligation de réserve ou le secret professionnel.</w:t>
      </w:r>
    </w:p>
    <w:p>
      <w:pPr>
        <w:pStyle w:val="Normal"/>
        <w:ind w:left="294" w:right="0" w:hanging="0"/>
        <w:jc w:val="both"/>
        <w:rPr/>
      </w:pPr>
      <w:r>
        <w:rPr/>
        <w:t>Ils proposent à l’association gestionnaire les mesures destinées à améliorer son fonctionnement ou la qualité de vie des locataires ainsi que les notes d’information ou les consignes régulant ou réglementant la vie des locataires dans la résidence.</w:t>
      </w:r>
    </w:p>
    <w:p>
      <w:pPr>
        <w:pStyle w:val="Normal"/>
        <w:ind w:left="294" w:right="0" w:hanging="0"/>
        <w:jc w:val="both"/>
        <w:rPr/>
      </w:pPr>
      <w:r>
        <w:rPr/>
      </w:r>
    </w:p>
    <w:p>
      <w:pPr>
        <w:pStyle w:val="Normal"/>
        <w:ind w:left="294" w:right="0" w:hanging="0"/>
        <w:jc w:val="both"/>
        <w:rPr/>
      </w:pPr>
      <w:r>
        <w:rPr/>
        <w:t>Un espace de bureau au rez-de-chaussée sera disponible pour l’accueil des locataires et mis à la disposition des services d’accompagnement et des soignants.</w:t>
      </w:r>
    </w:p>
    <w:p>
      <w:pPr>
        <w:pStyle w:val="Normal"/>
        <w:ind w:left="294" w:right="0" w:hanging="0"/>
        <w:jc w:val="both"/>
        <w:rPr/>
      </w:pPr>
      <w:r>
        <w:rPr/>
      </w:r>
    </w:p>
    <w:p>
      <w:pPr>
        <w:pStyle w:val="Normal"/>
        <w:ind w:left="294" w:right="0" w:hanging="0"/>
        <w:jc w:val="both"/>
        <w:rPr/>
      </w:pPr>
      <w:r>
        <w:rPr/>
      </w:r>
    </w:p>
    <w:p>
      <w:pPr>
        <w:pStyle w:val="ListParagraph"/>
        <w:keepNext w:val="true"/>
        <w:numPr>
          <w:ilvl w:val="1"/>
          <w:numId w:val="2"/>
        </w:numPr>
        <w:ind w:left="720" w:right="0" w:hanging="360"/>
        <w:jc w:val="both"/>
        <w:outlineLvl w:val="0"/>
        <w:rPr>
          <w:b/>
          <w:b/>
          <w:bCs/>
        </w:rPr>
      </w:pPr>
      <w:r>
        <w:rPr>
          <w:b/>
          <w:bCs/>
        </w:rPr>
        <w:t>Le SAVS et le SAMSAH</w:t>
      </w:r>
    </w:p>
    <w:p>
      <w:pPr>
        <w:pStyle w:val="Normal"/>
        <w:ind w:left="720" w:hanging="0"/>
        <w:rPr/>
      </w:pPr>
      <w:r>
        <w:rPr/>
      </w:r>
    </w:p>
    <w:p>
      <w:pPr>
        <w:pStyle w:val="Normal"/>
        <w:ind w:left="294" w:right="0" w:hanging="0"/>
        <w:jc w:val="both"/>
        <w:rPr/>
      </w:pPr>
      <w:r>
        <w:rPr/>
        <w:t>L’association gère deux services d’accompagnement dont l’un depuis plus de 15 ans.</w:t>
      </w:r>
    </w:p>
    <w:p>
      <w:pPr>
        <w:pStyle w:val="Normal"/>
        <w:ind w:left="294" w:right="0" w:hanging="0"/>
        <w:jc w:val="both"/>
        <w:rPr/>
      </w:pPr>
      <w:r>
        <w:rPr/>
        <w:t>Ils interviennent sur tout le département en visite à domicile et disposent d’une antenne à Nanterre et une autre à Bagneux. Si le bénéfice d’un accompagnement résulte d’une mesure individuelle, l’autorisation de création de 15 places de SAMSAH constitue un avantage considérable au service de la majorité des résidents. Il est donc logique de mettre à disposition des services d’accompagnement et en particulier du SAMSAH un local équipé au sein de la résidence qui permettra le stockage d’informations et les rencontres avec les résidents engagés dans cet accompagnement.</w:t>
      </w:r>
    </w:p>
    <w:p>
      <w:pPr>
        <w:pStyle w:val="Normal"/>
        <w:ind w:left="294" w:right="0" w:hanging="0"/>
        <w:jc w:val="both"/>
        <w:rPr/>
      </w:pPr>
      <w:r>
        <w:rPr/>
      </w:r>
    </w:p>
    <w:p>
      <w:pPr>
        <w:pStyle w:val="Normal"/>
        <w:ind w:left="294" w:right="0" w:hanging="0"/>
        <w:jc w:val="both"/>
        <w:rPr/>
      </w:pPr>
      <w:r>
        <w:rPr/>
      </w:r>
    </w:p>
    <w:p>
      <w:pPr>
        <w:pStyle w:val="ListParagraph"/>
        <w:keepNext w:val="true"/>
        <w:numPr>
          <w:ilvl w:val="0"/>
          <w:numId w:val="21"/>
        </w:numPr>
        <w:ind w:left="1428" w:right="0" w:hanging="360"/>
        <w:jc w:val="both"/>
        <w:outlineLvl w:val="0"/>
        <w:rPr>
          <w:b/>
          <w:b/>
          <w:bCs/>
        </w:rPr>
      </w:pPr>
      <w:r>
        <w:rPr>
          <w:b/>
          <w:bCs/>
        </w:rPr>
        <w:t>Le SAVS</w:t>
      </w:r>
    </w:p>
    <w:p>
      <w:pPr>
        <w:pStyle w:val="Normal"/>
        <w:ind w:left="720" w:hanging="0"/>
        <w:rPr/>
      </w:pPr>
      <w:r>
        <w:rPr/>
      </w:r>
    </w:p>
    <w:p>
      <w:pPr>
        <w:pStyle w:val="Normal"/>
        <w:ind w:left="294" w:right="0" w:hanging="0"/>
        <w:jc w:val="both"/>
        <w:rPr/>
      </w:pPr>
      <w:r>
        <w:rPr/>
        <w:t>Le suivi dans ce service s’obtient par la demande de l’intéressé à la MDPH qui délivre une notification ainsi que par une autorisation de prise charge à l’aide sociale par le Département.</w:t>
      </w:r>
    </w:p>
    <w:p>
      <w:pPr>
        <w:pStyle w:val="Normal"/>
        <w:ind w:left="294" w:right="0" w:hanging="0"/>
        <w:jc w:val="both"/>
        <w:rPr/>
      </w:pPr>
      <w:r>
        <w:rPr/>
        <w:t>Ces notifications ne sont délivrées que pour un temps limité et le suivi par le service est soumis à l’acceptation du bénéficiaire qui peut théoriquement arrêter à tout moment cet accompagnement. Toutefois, cette condition peut faire l’objet d’une mention dans la convention tripartite rédigée à l’admission.</w:t>
      </w:r>
    </w:p>
    <w:p>
      <w:pPr>
        <w:pStyle w:val="Normal"/>
        <w:ind w:left="294" w:right="0" w:hanging="0"/>
        <w:jc w:val="both"/>
        <w:rPr/>
      </w:pPr>
      <w:r>
        <w:rPr/>
      </w:r>
    </w:p>
    <w:p>
      <w:pPr>
        <w:pStyle w:val="Normal"/>
        <w:ind w:left="294" w:right="0" w:hanging="0"/>
        <w:jc w:val="both"/>
        <w:rPr/>
      </w:pPr>
      <w:r>
        <w:rPr/>
        <w:t>Le SAVS, dans ses missions courantes, effectue un accompagnement social à la carte pour favoriser le maintien des personnes dans une insertion sociale harmonieuse.</w:t>
      </w:r>
    </w:p>
    <w:p>
      <w:pPr>
        <w:pStyle w:val="Normal"/>
        <w:spacing w:lineRule="auto" w:line="276" w:before="0" w:after="200"/>
        <w:rPr/>
      </w:pPr>
      <w:r>
        <w:rPr/>
      </w:r>
      <w:r>
        <w:br w:type="page"/>
      </w:r>
    </w:p>
    <w:p>
      <w:pPr>
        <w:pStyle w:val="Normal"/>
        <w:ind w:left="294" w:right="0" w:hanging="0"/>
        <w:jc w:val="both"/>
        <w:rPr/>
      </w:pPr>
      <w:r>
        <w:rPr/>
      </w:r>
    </w:p>
    <w:p>
      <w:pPr>
        <w:pStyle w:val="Normal"/>
        <w:ind w:left="294" w:right="0" w:hanging="0"/>
        <w:jc w:val="both"/>
        <w:rPr/>
      </w:pPr>
      <w:r>
        <w:rPr/>
        <w:t>Un projet personnalisé détermine les champs d’accompagnement individualisé. Les demandes et les besoins qui émergent le plus souvent sont les suivantes :</w:t>
      </w:r>
    </w:p>
    <w:p>
      <w:pPr>
        <w:pStyle w:val="Normal"/>
        <w:ind w:left="294" w:right="0" w:hanging="0"/>
        <w:jc w:val="both"/>
        <w:rPr/>
      </w:pPr>
      <w:r>
        <w:rPr/>
      </w:r>
    </w:p>
    <w:p>
      <w:pPr>
        <w:pStyle w:val="Normal"/>
        <w:numPr>
          <w:ilvl w:val="0"/>
          <w:numId w:val="1"/>
        </w:numPr>
        <w:tabs>
          <w:tab w:val="clear" w:pos="708"/>
          <w:tab w:val="left" w:pos="2160" w:leader="none"/>
        </w:tabs>
        <w:ind w:left="1146" w:right="0" w:hanging="360"/>
        <w:jc w:val="both"/>
        <w:rPr/>
      </w:pPr>
      <w:r>
        <w:rPr/>
        <w:t>gestion domestique du logement</w:t>
      </w:r>
    </w:p>
    <w:p>
      <w:pPr>
        <w:pStyle w:val="Normal"/>
        <w:numPr>
          <w:ilvl w:val="0"/>
          <w:numId w:val="1"/>
        </w:numPr>
        <w:tabs>
          <w:tab w:val="clear" w:pos="708"/>
          <w:tab w:val="left" w:pos="2160" w:leader="none"/>
        </w:tabs>
        <w:ind w:left="1146" w:right="0" w:hanging="360"/>
        <w:jc w:val="both"/>
        <w:rPr/>
      </w:pPr>
      <w:r>
        <w:rPr/>
        <w:t>budget</w:t>
      </w:r>
    </w:p>
    <w:p>
      <w:pPr>
        <w:pStyle w:val="Normal"/>
        <w:numPr>
          <w:ilvl w:val="0"/>
          <w:numId w:val="1"/>
        </w:numPr>
        <w:tabs>
          <w:tab w:val="clear" w:pos="708"/>
          <w:tab w:val="left" w:pos="2160" w:leader="none"/>
        </w:tabs>
        <w:ind w:left="1146" w:right="0" w:hanging="360"/>
        <w:jc w:val="both"/>
        <w:rPr/>
      </w:pPr>
      <w:r>
        <w:rPr/>
        <w:t>courses, élaboration, préparation des repas</w:t>
      </w:r>
    </w:p>
    <w:p>
      <w:pPr>
        <w:pStyle w:val="Normal"/>
        <w:numPr>
          <w:ilvl w:val="0"/>
          <w:numId w:val="1"/>
        </w:numPr>
        <w:tabs>
          <w:tab w:val="clear" w:pos="708"/>
          <w:tab w:val="left" w:pos="2160" w:leader="none"/>
        </w:tabs>
        <w:ind w:left="1146" w:right="0" w:hanging="360"/>
        <w:jc w:val="both"/>
        <w:rPr/>
      </w:pPr>
      <w:r>
        <w:rPr/>
        <w:t>démarches administratives</w:t>
      </w:r>
    </w:p>
    <w:p>
      <w:pPr>
        <w:pStyle w:val="Normal"/>
        <w:numPr>
          <w:ilvl w:val="0"/>
          <w:numId w:val="1"/>
        </w:numPr>
        <w:tabs>
          <w:tab w:val="clear" w:pos="708"/>
          <w:tab w:val="left" w:pos="2160" w:leader="none"/>
        </w:tabs>
        <w:ind w:left="1146" w:right="0" w:hanging="360"/>
        <w:jc w:val="both"/>
        <w:rPr/>
      </w:pPr>
      <w:r>
        <w:rPr/>
        <w:t>santé somatique et psychique</w:t>
      </w:r>
    </w:p>
    <w:p>
      <w:pPr>
        <w:pStyle w:val="Normal"/>
        <w:numPr>
          <w:ilvl w:val="0"/>
          <w:numId w:val="1"/>
        </w:numPr>
        <w:tabs>
          <w:tab w:val="clear" w:pos="708"/>
          <w:tab w:val="left" w:pos="2160" w:leader="none"/>
        </w:tabs>
        <w:ind w:left="1146" w:right="0" w:hanging="360"/>
        <w:jc w:val="both"/>
        <w:rPr/>
      </w:pPr>
      <w:r>
        <w:rPr/>
        <w:t>relations avec l’entourage</w:t>
      </w:r>
    </w:p>
    <w:p>
      <w:pPr>
        <w:pStyle w:val="Normal"/>
        <w:numPr>
          <w:ilvl w:val="0"/>
          <w:numId w:val="1"/>
        </w:numPr>
        <w:tabs>
          <w:tab w:val="clear" w:pos="708"/>
          <w:tab w:val="left" w:pos="2160" w:leader="none"/>
        </w:tabs>
        <w:ind w:left="1146" w:right="0" w:hanging="360"/>
        <w:jc w:val="both"/>
        <w:rPr/>
      </w:pPr>
      <w:r>
        <w:rPr/>
        <w:t>loisirs, vacances…</w:t>
      </w:r>
    </w:p>
    <w:p>
      <w:pPr>
        <w:pStyle w:val="Normal"/>
        <w:ind w:left="1146" w:right="0" w:hanging="0"/>
        <w:jc w:val="both"/>
        <w:rPr/>
      </w:pPr>
      <w:r>
        <w:rPr/>
      </w:r>
    </w:p>
    <w:p>
      <w:pPr>
        <w:pStyle w:val="Normal"/>
        <w:ind w:left="294" w:right="0" w:hanging="0"/>
        <w:jc w:val="both"/>
        <w:rPr/>
      </w:pPr>
      <w:r>
        <w:rPr/>
        <w:t>Toutefois le SAVS est un service qui s’adresse à des personnes plutôt assez autonomes dans la plupart des actes de la vie et dont les fluctuations psychiques restent exceptionnelles.</w:t>
      </w:r>
    </w:p>
    <w:p>
      <w:pPr>
        <w:pStyle w:val="Normal"/>
        <w:ind w:left="294" w:right="0" w:hanging="0"/>
        <w:jc w:val="both"/>
        <w:rPr/>
      </w:pPr>
      <w:r>
        <w:rPr/>
        <w:t>L’un des rôles prévalent du SAVS est la relation précise et permanente avec les interlocuteurs de la personne, engagés dans la réalisation et le maintien de son insertion sociale. Parmi ces interlocuteurs : les CMP, les CCAS, les familles, les bailleurs, les délégués à la tutelle, les employeurs, les voisins…</w:t>
      </w:r>
    </w:p>
    <w:p>
      <w:pPr>
        <w:pStyle w:val="Normal"/>
        <w:ind w:left="294" w:right="0" w:hanging="0"/>
        <w:jc w:val="both"/>
        <w:rPr/>
      </w:pPr>
      <w:r>
        <w:rPr/>
      </w:r>
    </w:p>
    <w:p>
      <w:pPr>
        <w:pStyle w:val="Normal"/>
        <w:ind w:left="294" w:right="0" w:hanging="0"/>
        <w:jc w:val="both"/>
        <w:rPr/>
      </w:pPr>
      <w:r>
        <w:rPr/>
      </w:r>
    </w:p>
    <w:p>
      <w:pPr>
        <w:pStyle w:val="ListParagraph"/>
        <w:keepNext w:val="true"/>
        <w:numPr>
          <w:ilvl w:val="0"/>
          <w:numId w:val="22"/>
        </w:numPr>
        <w:ind w:left="1014" w:right="0" w:hanging="360"/>
        <w:jc w:val="both"/>
        <w:outlineLvl w:val="0"/>
        <w:rPr>
          <w:b/>
          <w:b/>
          <w:bCs/>
        </w:rPr>
      </w:pPr>
      <w:r>
        <w:rPr>
          <w:b/>
          <w:bCs/>
        </w:rPr>
        <w:t>Le SAMSAH</w:t>
      </w:r>
    </w:p>
    <w:p>
      <w:pPr>
        <w:pStyle w:val="Normal"/>
        <w:ind w:left="720" w:hanging="0"/>
        <w:rPr/>
      </w:pPr>
      <w:r>
        <w:rPr/>
      </w:r>
    </w:p>
    <w:p>
      <w:pPr>
        <w:pStyle w:val="Normal"/>
        <w:ind w:left="294" w:right="0" w:hanging="0"/>
        <w:jc w:val="both"/>
        <w:rPr/>
      </w:pPr>
      <w:r>
        <w:rPr/>
        <w:t>Le SAMSAH est un service qui offre les mêmes prestations que le SAVS, avec un personnel plus étoffé et surtout une équipe paramédicale supervisée par un médecin psychiatre. Un tel service permet de s’adresser à des personnes qui présentent un besoin d’accompagnement aux soins (traitements, rendez-vous, examens biologiques…), et une autonomie plus relative.</w:t>
      </w:r>
    </w:p>
    <w:p>
      <w:pPr>
        <w:pStyle w:val="Normal"/>
        <w:ind w:left="294" w:right="0" w:hanging="0"/>
        <w:jc w:val="both"/>
        <w:rPr/>
      </w:pPr>
      <w:r>
        <w:rPr/>
        <w:t xml:space="preserve">Un dossier d’extension de 15 places a été déposé courant juin, qui définit les moyens, objectifs, méthodes d’intervention spécifiques à l’accompagnement des résidents à la résidence-accueil de Suresnes. Il  est envisagé que  le SAMSAH intervienne dans le cadre d’une file active comprenant notamment les </w:t>
      </w:r>
      <w:bookmarkStart w:id="1" w:name="_GoBack"/>
      <w:bookmarkEnd w:id="1"/>
      <w:r>
        <w:rPr/>
        <w:t>résidants de la résidence-accueil selon des modalités qui seront à définir lors des échanges portant sur ce dossier d’extension.</w:t>
      </w:r>
    </w:p>
    <w:p>
      <w:pPr>
        <w:pStyle w:val="Normal"/>
        <w:ind w:right="0" w:hanging="0"/>
        <w:jc w:val="both"/>
        <w:rPr/>
      </w:pPr>
      <w:r>
        <w:rPr/>
      </w:r>
    </w:p>
    <w:p>
      <w:pPr>
        <w:pStyle w:val="Normal"/>
        <w:ind w:left="294" w:right="0" w:hanging="0"/>
        <w:jc w:val="both"/>
        <w:rPr/>
      </w:pPr>
      <w:r>
        <w:rPr/>
      </w:r>
    </w:p>
    <w:p>
      <w:pPr>
        <w:pStyle w:val="ListParagraph"/>
        <w:numPr>
          <w:ilvl w:val="1"/>
          <w:numId w:val="2"/>
        </w:numPr>
        <w:ind w:left="720" w:right="0" w:hanging="360"/>
        <w:jc w:val="both"/>
        <w:rPr>
          <w:b/>
          <w:b/>
          <w:bCs/>
        </w:rPr>
      </w:pPr>
      <w:r>
        <w:rPr>
          <w:b/>
          <w:bCs/>
        </w:rPr>
        <w:t>Les secteurs psychiatriques.</w:t>
      </w:r>
    </w:p>
    <w:p>
      <w:pPr>
        <w:pStyle w:val="Normal"/>
        <w:ind w:left="294" w:right="0" w:hanging="0"/>
        <w:jc w:val="both"/>
        <w:rPr>
          <w:b/>
          <w:b/>
          <w:bCs/>
        </w:rPr>
      </w:pPr>
      <w:r>
        <w:rPr>
          <w:b/>
          <w:bCs/>
        </w:rPr>
      </w:r>
    </w:p>
    <w:p>
      <w:pPr>
        <w:pStyle w:val="Normal"/>
        <w:ind w:left="294" w:right="0" w:hanging="0"/>
        <w:jc w:val="both"/>
        <w:rPr/>
      </w:pPr>
      <w:r>
        <w:rPr/>
        <w:t>Les services d’accompagnement sont en relation constante avec les praticiens ou les équipes de soins des résidants. De façon régulière, des rencontres sont organisées pour évoquer la situation des personnes, leur suivi et les mesures à prendre pour améliorer la qualité des prestations offertes.</w:t>
      </w:r>
    </w:p>
    <w:p>
      <w:pPr>
        <w:pStyle w:val="Normal"/>
        <w:ind w:left="294" w:right="0" w:hanging="0"/>
        <w:jc w:val="both"/>
        <w:rPr/>
      </w:pPr>
      <w:r>
        <w:rPr/>
        <w:t>Des conventions tripartites sont signées entre les CMP et les services ainsi que les résidents pour définir les garanties de soins et les modalités de travail en complémentarité.</w:t>
      </w:r>
    </w:p>
    <w:p>
      <w:pPr>
        <w:pStyle w:val="Normal"/>
        <w:ind w:left="294" w:right="0" w:hanging="0"/>
        <w:jc w:val="both"/>
        <w:rPr/>
      </w:pPr>
      <w:r>
        <w:rPr/>
        <w:t xml:space="preserve">Il est à signaler que l’association </w:t>
      </w:r>
      <w:r>
        <w:rPr>
          <w:b/>
          <w:i/>
        </w:rPr>
        <w:t>espérance hauts de seine</w:t>
      </w:r>
      <w:r>
        <w:rPr/>
        <w:t xml:space="preserve"> travaille depuis de nombreuses années de cette manière avec de nombreux secteurs psychiatriques et dans le cadre de ces conventions.</w:t>
      </w:r>
    </w:p>
    <w:p>
      <w:pPr>
        <w:pStyle w:val="Normal"/>
        <w:ind w:left="294" w:right="0" w:hanging="0"/>
        <w:jc w:val="both"/>
        <w:rPr/>
      </w:pPr>
      <w:r>
        <w:rPr/>
      </w:r>
    </w:p>
    <w:p>
      <w:pPr>
        <w:pStyle w:val="ListParagraph"/>
        <w:numPr>
          <w:ilvl w:val="1"/>
          <w:numId w:val="2"/>
        </w:numPr>
        <w:ind w:left="720" w:right="0" w:hanging="360"/>
        <w:jc w:val="both"/>
        <w:rPr>
          <w:b/>
          <w:b/>
        </w:rPr>
      </w:pPr>
      <w:r>
        <w:rPr>
          <w:b/>
        </w:rPr>
        <w:t>Délégués à la tutelle</w:t>
      </w:r>
    </w:p>
    <w:p>
      <w:pPr>
        <w:pStyle w:val="Normal"/>
        <w:ind w:left="294" w:right="0" w:hanging="0"/>
        <w:jc w:val="both"/>
        <w:rPr>
          <w:b/>
          <w:b/>
        </w:rPr>
      </w:pPr>
      <w:r>
        <w:rPr>
          <w:b/>
        </w:rPr>
      </w:r>
    </w:p>
    <w:p>
      <w:pPr>
        <w:pStyle w:val="Normal"/>
        <w:ind w:left="294" w:right="0" w:hanging="0"/>
        <w:jc w:val="both"/>
        <w:rPr/>
      </w:pPr>
      <w:r>
        <w:rPr/>
        <w:t>Les personnes accueillies en résidence-sociale bénéficient en majorité d’une mesure de curatelle, souvent renforcée, et plus rarement d’une mesure de tutelle. Les services d’accompagnement considèrent les délégués comme des partenaires réguliers et complètent l’action des représentants de la mesure par un soutien et une pédagogie permanents à la gestion du budget personne.</w:t>
      </w:r>
    </w:p>
    <w:p>
      <w:pPr>
        <w:pStyle w:val="Normal"/>
        <w:ind w:left="294" w:right="0" w:hanging="0"/>
        <w:jc w:val="both"/>
        <w:rPr/>
      </w:pPr>
      <w:r>
        <w:rPr/>
      </w:r>
    </w:p>
    <w:p>
      <w:pPr>
        <w:pStyle w:val="ListParagraph"/>
        <w:numPr>
          <w:ilvl w:val="1"/>
          <w:numId w:val="2"/>
        </w:numPr>
        <w:ind w:left="720" w:right="0" w:hanging="360"/>
        <w:jc w:val="both"/>
        <w:rPr>
          <w:b/>
          <w:b/>
        </w:rPr>
      </w:pPr>
      <w:r>
        <w:rPr>
          <w:b/>
        </w:rPr>
        <w:t>Familles</w:t>
      </w:r>
    </w:p>
    <w:p>
      <w:pPr>
        <w:pStyle w:val="Normal"/>
        <w:ind w:left="294" w:right="0" w:hanging="0"/>
        <w:jc w:val="both"/>
        <w:rPr/>
      </w:pPr>
      <w:r>
        <w:rPr/>
      </w:r>
    </w:p>
    <w:p>
      <w:pPr>
        <w:pStyle w:val="Normal"/>
        <w:ind w:left="294" w:right="0" w:hanging="0"/>
        <w:jc w:val="both"/>
        <w:rPr/>
      </w:pPr>
      <w:r>
        <w:rPr/>
        <w:t>La maladie psychique désorganise fréquemment la famille et la fragilité des personnes concernées empêche parfois qu’elles soient reconnues comme des adultes à part entière. L’ensemble des professionnels de la résidence-accueil et des services d’accompagnement veillera à soutenir les relations tant auprès du résident que de sa famille (mais aussi amis).</w:t>
      </w:r>
    </w:p>
    <w:p>
      <w:pPr>
        <w:pStyle w:val="Normal"/>
        <w:ind w:left="294" w:right="0" w:hanging="0"/>
        <w:jc w:val="both"/>
        <w:rPr/>
      </w:pPr>
      <w:r>
        <w:rPr/>
      </w:r>
    </w:p>
    <w:p>
      <w:pPr>
        <w:pStyle w:val="Normal"/>
        <w:ind w:left="284" w:right="0" w:hanging="0"/>
        <w:jc w:val="both"/>
        <w:rPr/>
      </w:pPr>
      <w:r>
        <w:rPr/>
        <w:t xml:space="preserve">L’accompagnement des résidents à la résidence-accueil de Suresnes est un accompagnement inclusif. Il doit donc mettre tout en œuvre pour faciliter les échanges de la résidence vers l’extérieur et de l’extérieur vers la résidence. </w:t>
      </w:r>
    </w:p>
    <w:p>
      <w:pPr>
        <w:pStyle w:val="Normal"/>
        <w:ind w:left="284" w:right="0" w:hanging="0"/>
        <w:jc w:val="both"/>
        <w:rPr>
          <w:b/>
          <w:b/>
        </w:rPr>
      </w:pPr>
      <w:r>
        <w:rPr/>
        <w:t>Individuellement, cet accompagnement est  celui d’une personne dans son réseau social soutenu par les équipes de la résidence et des services d’accompagnement, en coordination et en complémentarité avec tous les partenaires engagés auprès d’elle.</w:t>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spacing w:lineRule="auto" w:line="276" w:before="0" w:after="200"/>
        <w:rPr>
          <w:b/>
          <w:b/>
        </w:rPr>
      </w:pPr>
      <w:r>
        <w:rPr>
          <w:b/>
        </w:rPr>
      </w:r>
      <w:r>
        <w:br w:type="page"/>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Normal"/>
        <w:ind w:right="0" w:hanging="0"/>
        <w:jc w:val="both"/>
        <w:rPr>
          <w:b/>
          <w:b/>
        </w:rPr>
      </w:pPr>
      <w:r>
        <w:rPr>
          <w:b/>
        </w:rPr>
      </w:r>
    </w:p>
    <w:p>
      <w:pPr>
        <w:pStyle w:val="ListParagraph"/>
        <w:numPr>
          <w:ilvl w:val="0"/>
          <w:numId w:val="17"/>
        </w:numPr>
        <w:spacing w:lineRule="auto" w:line="276" w:before="0" w:after="200"/>
        <w:contextualSpacing/>
        <w:jc w:val="center"/>
        <w:rPr>
          <w:b/>
          <w:b/>
          <w:bCs/>
          <w:sz w:val="36"/>
          <w:szCs w:val="36"/>
        </w:rPr>
      </w:pPr>
      <w:r>
        <w:rPr>
          <w:b/>
          <w:bCs/>
          <w:sz w:val="36"/>
          <w:szCs w:val="36"/>
        </w:rPr>
        <w:t>DONNÉES FINANCIERES</w:t>
      </w:r>
    </w:p>
    <w:p>
      <w:pPr>
        <w:pStyle w:val="Normal"/>
        <w:spacing w:lineRule="auto" w:line="276" w:before="0" w:after="200"/>
        <w:rPr>
          <w:b/>
          <w:b/>
        </w:rPr>
      </w:pPr>
      <w:r>
        <w:rPr>
          <w:b/>
        </w:rPr>
      </w:r>
      <w:r>
        <w:br w:type="page"/>
      </w:r>
    </w:p>
    <w:p>
      <w:pPr>
        <w:pStyle w:val="Normal"/>
        <w:ind w:right="0" w:hanging="0"/>
        <w:jc w:val="both"/>
        <w:rPr/>
      </w:pPr>
      <w:r>
        <w:rPr/>
      </w:r>
    </w:p>
    <w:p>
      <w:pPr>
        <w:pStyle w:val="ListParagraph"/>
        <w:keepNext w:val="true"/>
        <w:numPr>
          <w:ilvl w:val="6"/>
          <w:numId w:val="2"/>
        </w:numPr>
        <w:ind w:left="851" w:right="0" w:hanging="360"/>
        <w:jc w:val="both"/>
        <w:outlineLvl w:val="0"/>
        <w:rPr>
          <w:b/>
          <w:b/>
          <w:bCs/>
        </w:rPr>
      </w:pPr>
      <w:r>
        <w:rPr>
          <w:b/>
          <w:bCs/>
        </w:rPr>
        <w:t xml:space="preserve"> </w:t>
      </w:r>
      <w:r>
        <w:rPr>
          <w:b/>
          <w:bCs/>
        </w:rPr>
        <w:t>LES CHARGES</w:t>
      </w:r>
    </w:p>
    <w:p>
      <w:pPr>
        <w:pStyle w:val="Normal"/>
        <w:rPr/>
      </w:pPr>
      <w:r>
        <w:rPr/>
      </w:r>
    </w:p>
    <w:p>
      <w:pPr>
        <w:pStyle w:val="Normal"/>
        <w:ind w:right="0" w:hanging="0"/>
        <w:jc w:val="both"/>
        <w:rPr/>
      </w:pPr>
      <w:r>
        <w:rPr/>
      </w:r>
    </w:p>
    <w:p>
      <w:pPr>
        <w:pStyle w:val="Normal"/>
        <w:keepNext w:val="true"/>
        <w:numPr>
          <w:ilvl w:val="0"/>
          <w:numId w:val="0"/>
        </w:numPr>
        <w:ind w:left="491" w:right="0" w:hanging="0"/>
        <w:jc w:val="both"/>
        <w:outlineLvl w:val="0"/>
        <w:rPr>
          <w:b/>
          <w:b/>
          <w:bCs/>
        </w:rPr>
      </w:pPr>
      <w:r>
        <w:rPr>
          <w:b/>
          <w:bCs/>
        </w:rPr>
        <w:t>Le loyer :</w:t>
      </w:r>
    </w:p>
    <w:p>
      <w:pPr>
        <w:pStyle w:val="Normal"/>
        <w:keepNext w:val="true"/>
        <w:numPr>
          <w:ilvl w:val="0"/>
          <w:numId w:val="0"/>
        </w:numPr>
        <w:ind w:left="491" w:right="0" w:hanging="0"/>
        <w:jc w:val="both"/>
        <w:outlineLvl w:val="0"/>
        <w:rPr>
          <w:b/>
          <w:b/>
          <w:bCs/>
        </w:rPr>
      </w:pPr>
      <w:r>
        <w:rPr>
          <w:b/>
          <w:bCs/>
        </w:rPr>
      </w:r>
    </w:p>
    <w:p>
      <w:pPr>
        <w:pStyle w:val="Normal"/>
        <w:ind w:left="426" w:right="0" w:hanging="0"/>
        <w:jc w:val="both"/>
        <w:rPr/>
      </w:pPr>
      <w:r>
        <w:rPr/>
        <w:t>A cette date, le loyer principal, fixé par le propriétaire, l’Office Départemental d’Habitation à Loyer Modéré des Hauts de Seine a été ramené à 92 777,01 € (pour 2018). (Mail de l’Office du 7 mai 2018).</w:t>
      </w:r>
    </w:p>
    <w:p>
      <w:pPr>
        <w:pStyle w:val="Normal"/>
        <w:ind w:left="426" w:right="0" w:hanging="0"/>
        <w:jc w:val="both"/>
        <w:rPr/>
      </w:pPr>
      <w:r>
        <w:rPr/>
      </w:r>
    </w:p>
    <w:p>
      <w:pPr>
        <w:pStyle w:val="Normal"/>
        <w:ind w:left="426" w:right="0" w:hanging="0"/>
        <w:jc w:val="both"/>
        <w:rPr>
          <w:b/>
          <w:b/>
        </w:rPr>
      </w:pPr>
      <w:r>
        <w:rPr>
          <w:b/>
        </w:rPr>
        <w:t>Les charges locatives récupérables :</w:t>
      </w:r>
    </w:p>
    <w:p>
      <w:pPr>
        <w:pStyle w:val="Normal"/>
        <w:ind w:left="426" w:right="0" w:hanging="0"/>
        <w:jc w:val="both"/>
        <w:rPr>
          <w:b/>
          <w:b/>
        </w:rPr>
      </w:pPr>
      <w:r>
        <w:rPr>
          <w:b/>
        </w:rPr>
      </w:r>
    </w:p>
    <w:p>
      <w:pPr>
        <w:pStyle w:val="Normal"/>
        <w:ind w:left="426" w:right="0" w:hanging="0"/>
        <w:jc w:val="both"/>
        <w:rPr/>
      </w:pPr>
      <w:r>
        <w:rPr/>
        <w:t xml:space="preserve">Elles ont été fixées pour 2017 à 45 788,65 € pour l’ensemble du lot loué à </w:t>
      </w:r>
      <w:r>
        <w:rPr>
          <w:b/>
          <w:i/>
        </w:rPr>
        <w:t>espérance hauts de seine +</w:t>
      </w:r>
      <w:r>
        <w:rPr/>
        <w:t xml:space="preserve"> 2 221€ de charges non récupérables soit 48 010 €.</w:t>
      </w:r>
    </w:p>
    <w:p>
      <w:pPr>
        <w:pStyle w:val="Normal"/>
        <w:ind w:left="426" w:right="0" w:hanging="0"/>
        <w:jc w:val="both"/>
        <w:rPr/>
      </w:pPr>
      <w:r>
        <w:rPr/>
      </w:r>
    </w:p>
    <w:p>
      <w:pPr>
        <w:pStyle w:val="Normal"/>
        <w:ind w:left="426" w:right="0" w:hanging="0"/>
        <w:jc w:val="both"/>
        <w:rPr/>
      </w:pPr>
      <w:r>
        <w:rPr/>
        <w:t>Le montant total loyer + charges pour 2018 est de 140 787 €.</w:t>
      </w:r>
    </w:p>
    <w:p>
      <w:pPr>
        <w:pStyle w:val="Normal"/>
        <w:ind w:left="426" w:right="0" w:hanging="0"/>
        <w:jc w:val="both"/>
        <w:rPr/>
      </w:pPr>
      <w:r>
        <w:rPr/>
      </w:r>
    </w:p>
    <w:p>
      <w:pPr>
        <w:pStyle w:val="Normal"/>
        <w:ind w:left="426" w:right="0" w:hanging="0"/>
        <w:jc w:val="both"/>
        <w:rPr>
          <w:b/>
          <w:b/>
          <w:bCs/>
        </w:rPr>
      </w:pPr>
      <w:r>
        <w:rPr>
          <w:b/>
          <w:bCs/>
        </w:rPr>
        <w:t>Les dépenses de personnel :</w:t>
      </w:r>
    </w:p>
    <w:p>
      <w:pPr>
        <w:pStyle w:val="Normal"/>
        <w:ind w:left="426" w:right="0" w:hanging="0"/>
        <w:jc w:val="both"/>
        <w:rPr>
          <w:b/>
          <w:b/>
          <w:bCs/>
        </w:rPr>
      </w:pPr>
      <w:r>
        <w:rPr>
          <w:b/>
          <w:bCs/>
        </w:rPr>
      </w:r>
    </w:p>
    <w:p>
      <w:pPr>
        <w:pStyle w:val="Normal"/>
        <w:ind w:left="425" w:right="0" w:hanging="0"/>
        <w:jc w:val="both"/>
        <w:rPr/>
      </w:pPr>
      <w:r>
        <w:rPr/>
        <w:t xml:space="preserve">Les dépenses de personnel, retenues à partir des conditions conventionnelles du 15 mars 1966 auxquelles souscrit l’association, sont fixées à partir  de 1 ETP de CESF + 2 ETP d’ouvrier qualifié. </w:t>
      </w:r>
    </w:p>
    <w:p>
      <w:pPr>
        <w:pStyle w:val="Normal"/>
        <w:ind w:left="425" w:right="0" w:hanging="0"/>
        <w:jc w:val="both"/>
        <w:rPr/>
      </w:pPr>
      <w:r>
        <w:rPr/>
      </w:r>
    </w:p>
    <w:p>
      <w:pPr>
        <w:pStyle w:val="Normal"/>
        <w:ind w:left="426" w:right="0" w:hanging="0"/>
        <w:jc w:val="both"/>
        <w:rPr/>
      </w:pPr>
      <w:r>
        <w:rPr/>
        <w:t>Le compte 648 finance les majorations des dimanches et jours fériés.</w:t>
      </w:r>
    </w:p>
    <w:p>
      <w:pPr>
        <w:pStyle w:val="Normal"/>
        <w:ind w:left="426" w:right="0" w:hanging="0"/>
        <w:jc w:val="both"/>
        <w:rPr/>
      </w:pPr>
      <w:r>
        <w:rPr/>
      </w:r>
    </w:p>
    <w:p>
      <w:pPr>
        <w:pStyle w:val="Normal"/>
        <w:ind w:left="426" w:right="0" w:hanging="0"/>
        <w:jc w:val="both"/>
        <w:rPr/>
      </w:pPr>
      <w:r>
        <w:rPr/>
        <w:t>Il est précisé qu’il n’est pas prévu d’ETP administratif ou de gestion. Ce sont les frais de gestion (655600 : 5 000€)  qui couvrent les dépenses de travaux administratifs et comptables.</w:t>
      </w:r>
    </w:p>
    <w:p>
      <w:pPr>
        <w:pStyle w:val="Normal"/>
        <w:ind w:left="426" w:right="0" w:hanging="0"/>
        <w:jc w:val="both"/>
        <w:rPr/>
      </w:pPr>
      <w:r>
        <w:rPr/>
      </w:r>
    </w:p>
    <w:p>
      <w:pPr>
        <w:pStyle w:val="Normal"/>
        <w:ind w:left="426" w:right="0" w:hanging="0"/>
        <w:jc w:val="both"/>
        <w:rPr/>
      </w:pPr>
      <w:r>
        <w:rPr/>
        <w:t>Il n’est pas prévu de prestation de ménage et d’entretien des locaux. Ces tâches seront effectuées par la  maitresse de maison avec la participation envisagée des résidents.</w:t>
      </w:r>
    </w:p>
    <w:p>
      <w:pPr>
        <w:pStyle w:val="Normal"/>
        <w:ind w:left="426" w:right="0" w:hanging="0"/>
        <w:jc w:val="both"/>
        <w:rPr/>
      </w:pPr>
      <w:r>
        <w:rPr/>
      </w:r>
    </w:p>
    <w:p>
      <w:pPr>
        <w:pStyle w:val="Normal"/>
        <w:ind w:left="426" w:right="0" w:hanging="0"/>
        <w:jc w:val="both"/>
        <w:rPr/>
      </w:pPr>
      <w:r>
        <w:rPr/>
        <w:t>Le tableau ci-après donne la répartition des dépenses de personnel.</w:t>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p>
      <w:pPr>
        <w:pStyle w:val="Normal"/>
        <w:ind w:left="426" w:right="0" w:hanging="0"/>
        <w:jc w:val="both"/>
        <w:rPr/>
      </w:pPr>
      <w:r>
        <w:rPr/>
      </w:r>
    </w:p>
    <w:tbl>
      <w:tblPr>
        <w:tblW w:w="10221" w:type="dxa"/>
        <w:jc w:val="left"/>
        <w:tblInd w:w="55" w:type="dxa"/>
        <w:tblBorders/>
        <w:tblCellMar>
          <w:top w:w="0" w:type="dxa"/>
          <w:left w:w="70" w:type="dxa"/>
          <w:bottom w:w="0" w:type="dxa"/>
          <w:right w:w="70" w:type="dxa"/>
        </w:tblCellMar>
        <w:tblLook w:firstRow="1" w:noVBand="1" w:lastRow="0" w:firstColumn="1" w:lastColumn="0" w:noHBand="0" w:val="04a0"/>
      </w:tblPr>
      <w:tblGrid>
        <w:gridCol w:w="1709"/>
        <w:gridCol w:w="609"/>
        <w:gridCol w:w="690"/>
        <w:gridCol w:w="713"/>
        <w:gridCol w:w="607"/>
        <w:gridCol w:w="541"/>
        <w:gridCol w:w="1059"/>
        <w:gridCol w:w="834"/>
        <w:gridCol w:w="619"/>
        <w:gridCol w:w="963"/>
        <w:gridCol w:w="1058"/>
        <w:gridCol w:w="818"/>
      </w:tblGrid>
      <w:tr>
        <w:trPr>
          <w:trHeight w:val="300" w:hRule="atLeast"/>
        </w:trPr>
        <w:tc>
          <w:tcPr>
            <w:tcW w:w="10220" w:type="dxa"/>
            <w:gridSpan w:val="12"/>
            <w:tcBorders/>
            <w:shd w:fill="auto" w:val="clear"/>
            <w:vAlign w:val="bottom"/>
          </w:tcPr>
          <w:p>
            <w:pPr>
              <w:pStyle w:val="Normal"/>
              <w:jc w:val="center"/>
              <w:rPr>
                <w:b/>
                <w:b/>
                <w:bCs/>
                <w:sz w:val="20"/>
                <w:szCs w:val="20"/>
              </w:rPr>
            </w:pPr>
            <w:r>
              <w:rPr>
                <w:b/>
                <w:bCs/>
                <w:sz w:val="20"/>
                <w:szCs w:val="20"/>
              </w:rPr>
              <w:t>SALAIRES PROJECTION 2018</w:t>
            </w:r>
          </w:p>
        </w:tc>
      </w:tr>
      <w:tr>
        <w:trPr>
          <w:trHeight w:val="300" w:hRule="atLeast"/>
        </w:trPr>
        <w:tc>
          <w:tcPr>
            <w:tcW w:w="1709" w:type="dxa"/>
            <w:tcBorders/>
            <w:shd w:fill="auto" w:val="clear"/>
            <w:vAlign w:val="bottom"/>
          </w:tcPr>
          <w:p>
            <w:pPr>
              <w:pStyle w:val="Normal"/>
              <w:jc w:val="center"/>
              <w:rPr>
                <w:sz w:val="20"/>
                <w:szCs w:val="20"/>
              </w:rPr>
            </w:pPr>
            <w:r>
              <w:rPr>
                <w:sz w:val="20"/>
                <w:szCs w:val="20"/>
              </w:rPr>
              <w:t xml:space="preserve">valeur point </w:t>
            </w:r>
          </w:p>
        </w:tc>
        <w:tc>
          <w:tcPr>
            <w:tcW w:w="609" w:type="dxa"/>
            <w:tcBorders/>
            <w:shd w:fill="auto" w:val="clear"/>
            <w:vAlign w:val="bottom"/>
          </w:tcPr>
          <w:p>
            <w:pPr>
              <w:pStyle w:val="Normal"/>
              <w:jc w:val="center"/>
              <w:rPr>
                <w:sz w:val="20"/>
                <w:szCs w:val="20"/>
              </w:rPr>
            </w:pPr>
            <w:r>
              <w:rPr>
                <w:sz w:val="20"/>
                <w:szCs w:val="20"/>
              </w:rPr>
              <w:t>3,78</w:t>
            </w:r>
          </w:p>
        </w:tc>
        <w:tc>
          <w:tcPr>
            <w:tcW w:w="690" w:type="dxa"/>
            <w:tcBorders/>
            <w:shd w:fill="auto" w:val="clear"/>
            <w:vAlign w:val="bottom"/>
          </w:tcPr>
          <w:p>
            <w:pPr>
              <w:pStyle w:val="Normal"/>
              <w:rPr>
                <w:color w:val="000000"/>
                <w:sz w:val="20"/>
                <w:szCs w:val="20"/>
              </w:rPr>
            </w:pPr>
            <w:r>
              <w:rPr>
                <w:color w:val="000000"/>
                <w:sz w:val="20"/>
                <w:szCs w:val="20"/>
              </w:rPr>
            </w:r>
          </w:p>
        </w:tc>
        <w:tc>
          <w:tcPr>
            <w:tcW w:w="713" w:type="dxa"/>
            <w:tcBorders/>
            <w:shd w:fill="auto" w:val="clear"/>
            <w:vAlign w:val="bottom"/>
          </w:tcPr>
          <w:p>
            <w:pPr>
              <w:pStyle w:val="Normal"/>
              <w:rPr>
                <w:sz w:val="20"/>
                <w:szCs w:val="20"/>
              </w:rPr>
            </w:pPr>
            <w:r>
              <w:rPr>
                <w:sz w:val="20"/>
                <w:szCs w:val="20"/>
              </w:rPr>
            </w:r>
          </w:p>
        </w:tc>
        <w:tc>
          <w:tcPr>
            <w:tcW w:w="607" w:type="dxa"/>
            <w:tcBorders/>
            <w:shd w:fill="auto" w:val="clear"/>
            <w:vAlign w:val="bottom"/>
          </w:tcPr>
          <w:p>
            <w:pPr>
              <w:pStyle w:val="Normal"/>
              <w:rPr>
                <w:sz w:val="20"/>
                <w:szCs w:val="20"/>
              </w:rPr>
            </w:pPr>
            <w:r>
              <w:rPr>
                <w:sz w:val="20"/>
                <w:szCs w:val="20"/>
              </w:rPr>
            </w:r>
          </w:p>
        </w:tc>
        <w:tc>
          <w:tcPr>
            <w:tcW w:w="541" w:type="dxa"/>
            <w:tcBorders/>
            <w:shd w:fill="auto" w:val="clear"/>
            <w:vAlign w:val="bottom"/>
          </w:tcPr>
          <w:p>
            <w:pPr>
              <w:pStyle w:val="Normal"/>
              <w:rPr>
                <w:sz w:val="20"/>
                <w:szCs w:val="20"/>
              </w:rPr>
            </w:pPr>
            <w:r>
              <w:rPr>
                <w:sz w:val="20"/>
                <w:szCs w:val="20"/>
              </w:rPr>
            </w:r>
          </w:p>
        </w:tc>
        <w:tc>
          <w:tcPr>
            <w:tcW w:w="1059" w:type="dxa"/>
            <w:tcBorders/>
            <w:shd w:fill="auto" w:val="clear"/>
            <w:vAlign w:val="bottom"/>
          </w:tcPr>
          <w:p>
            <w:pPr>
              <w:pStyle w:val="Normal"/>
              <w:rPr>
                <w:sz w:val="20"/>
                <w:szCs w:val="20"/>
              </w:rPr>
            </w:pPr>
            <w:r>
              <w:rPr>
                <w:sz w:val="20"/>
                <w:szCs w:val="20"/>
              </w:rPr>
            </w:r>
          </w:p>
        </w:tc>
        <w:tc>
          <w:tcPr>
            <w:tcW w:w="834" w:type="dxa"/>
            <w:tcBorders/>
            <w:shd w:fill="auto" w:val="clear"/>
            <w:vAlign w:val="bottom"/>
          </w:tcPr>
          <w:p>
            <w:pPr>
              <w:pStyle w:val="Normal"/>
              <w:rPr>
                <w:sz w:val="20"/>
                <w:szCs w:val="20"/>
              </w:rPr>
            </w:pPr>
            <w:r>
              <w:rPr>
                <w:sz w:val="20"/>
                <w:szCs w:val="20"/>
              </w:rPr>
            </w:r>
          </w:p>
        </w:tc>
        <w:tc>
          <w:tcPr>
            <w:tcW w:w="619" w:type="dxa"/>
            <w:tcBorders/>
            <w:shd w:fill="auto" w:val="clear"/>
            <w:vAlign w:val="bottom"/>
          </w:tcPr>
          <w:p>
            <w:pPr>
              <w:pStyle w:val="Normal"/>
              <w:rPr>
                <w:sz w:val="20"/>
                <w:szCs w:val="20"/>
              </w:rPr>
            </w:pPr>
            <w:r>
              <w:rPr>
                <w:sz w:val="20"/>
                <w:szCs w:val="20"/>
              </w:rPr>
            </w:r>
          </w:p>
        </w:tc>
        <w:tc>
          <w:tcPr>
            <w:tcW w:w="963" w:type="dxa"/>
            <w:tcBorders/>
            <w:shd w:fill="auto" w:val="clear"/>
            <w:vAlign w:val="bottom"/>
          </w:tcPr>
          <w:p>
            <w:pPr>
              <w:pStyle w:val="Normal"/>
              <w:rPr>
                <w:sz w:val="20"/>
                <w:szCs w:val="20"/>
              </w:rPr>
            </w:pPr>
            <w:r>
              <w:rPr>
                <w:sz w:val="20"/>
                <w:szCs w:val="20"/>
              </w:rPr>
            </w:r>
          </w:p>
        </w:tc>
        <w:tc>
          <w:tcPr>
            <w:tcW w:w="1058" w:type="dxa"/>
            <w:tcBorders/>
            <w:shd w:fill="auto" w:val="clear"/>
            <w:vAlign w:val="bottom"/>
          </w:tcPr>
          <w:p>
            <w:pPr>
              <w:pStyle w:val="Normal"/>
              <w:jc w:val="center"/>
              <w:rPr>
                <w:sz w:val="20"/>
                <w:szCs w:val="20"/>
              </w:rPr>
            </w:pPr>
            <w:r>
              <w:rPr>
                <w:sz w:val="20"/>
                <w:szCs w:val="20"/>
              </w:rPr>
            </w:r>
          </w:p>
        </w:tc>
        <w:tc>
          <w:tcPr>
            <w:tcW w:w="818" w:type="dxa"/>
            <w:tcBorders/>
            <w:shd w:fill="auto" w:val="clear"/>
            <w:vAlign w:val="bottom"/>
          </w:tcPr>
          <w:p>
            <w:pPr>
              <w:pStyle w:val="Normal"/>
              <w:jc w:val="center"/>
              <w:rPr>
                <w:sz w:val="20"/>
                <w:szCs w:val="20"/>
              </w:rPr>
            </w:pPr>
            <w:r>
              <w:rPr>
                <w:sz w:val="20"/>
                <w:szCs w:val="20"/>
              </w:rPr>
            </w:r>
          </w:p>
        </w:tc>
      </w:tr>
      <w:tr>
        <w:trPr>
          <w:trHeight w:val="23" w:hRule="exact"/>
        </w:trPr>
        <w:tc>
          <w:tcPr>
            <w:tcW w:w="1709" w:type="dxa"/>
            <w:tcBorders/>
            <w:shd w:fill="auto" w:val="clear"/>
            <w:vAlign w:val="bottom"/>
          </w:tcPr>
          <w:p>
            <w:pPr>
              <w:pStyle w:val="Normal"/>
              <w:rPr>
                <w:sz w:val="20"/>
                <w:szCs w:val="20"/>
              </w:rPr>
            </w:pPr>
            <w:r>
              <w:rPr>
                <w:sz w:val="20"/>
                <w:szCs w:val="20"/>
              </w:rPr>
            </w:r>
          </w:p>
        </w:tc>
        <w:tc>
          <w:tcPr>
            <w:tcW w:w="609" w:type="dxa"/>
            <w:tcBorders/>
            <w:shd w:fill="auto" w:val="clear"/>
            <w:vAlign w:val="bottom"/>
          </w:tcPr>
          <w:p>
            <w:pPr>
              <w:pStyle w:val="Normal"/>
              <w:rPr>
                <w:sz w:val="20"/>
                <w:szCs w:val="20"/>
              </w:rPr>
            </w:pPr>
            <w:r>
              <w:rPr>
                <w:sz w:val="20"/>
                <w:szCs w:val="20"/>
              </w:rPr>
            </w:r>
          </w:p>
        </w:tc>
        <w:tc>
          <w:tcPr>
            <w:tcW w:w="690" w:type="dxa"/>
            <w:tcBorders/>
            <w:shd w:fill="auto" w:val="clear"/>
            <w:vAlign w:val="bottom"/>
          </w:tcPr>
          <w:p>
            <w:pPr>
              <w:pStyle w:val="Normal"/>
              <w:jc w:val="center"/>
              <w:rPr>
                <w:sz w:val="20"/>
                <w:szCs w:val="20"/>
              </w:rPr>
            </w:pPr>
            <w:r>
              <w:rPr>
                <w:sz w:val="20"/>
                <w:szCs w:val="20"/>
              </w:rPr>
            </w:r>
          </w:p>
        </w:tc>
        <w:tc>
          <w:tcPr>
            <w:tcW w:w="713" w:type="dxa"/>
            <w:tcBorders/>
            <w:shd w:fill="auto" w:val="clear"/>
            <w:vAlign w:val="bottom"/>
          </w:tcPr>
          <w:p>
            <w:pPr>
              <w:pStyle w:val="Normal"/>
              <w:rPr>
                <w:sz w:val="20"/>
                <w:szCs w:val="20"/>
              </w:rPr>
            </w:pPr>
            <w:r>
              <w:rPr>
                <w:sz w:val="20"/>
                <w:szCs w:val="20"/>
              </w:rPr>
            </w:r>
          </w:p>
        </w:tc>
        <w:tc>
          <w:tcPr>
            <w:tcW w:w="607" w:type="dxa"/>
            <w:tcBorders/>
            <w:shd w:fill="auto" w:val="clear"/>
            <w:vAlign w:val="bottom"/>
          </w:tcPr>
          <w:p>
            <w:pPr>
              <w:pStyle w:val="Normal"/>
              <w:rPr>
                <w:sz w:val="20"/>
                <w:szCs w:val="20"/>
              </w:rPr>
            </w:pPr>
            <w:r>
              <w:rPr>
                <w:sz w:val="20"/>
                <w:szCs w:val="20"/>
              </w:rPr>
            </w:r>
          </w:p>
        </w:tc>
        <w:tc>
          <w:tcPr>
            <w:tcW w:w="541" w:type="dxa"/>
            <w:tcBorders/>
            <w:shd w:fill="auto" w:val="clear"/>
            <w:vAlign w:val="bottom"/>
          </w:tcPr>
          <w:p>
            <w:pPr>
              <w:pStyle w:val="Normal"/>
              <w:rPr>
                <w:sz w:val="20"/>
                <w:szCs w:val="20"/>
              </w:rPr>
            </w:pPr>
            <w:r>
              <w:rPr>
                <w:sz w:val="20"/>
                <w:szCs w:val="20"/>
              </w:rPr>
            </w:r>
          </w:p>
        </w:tc>
        <w:tc>
          <w:tcPr>
            <w:tcW w:w="1059" w:type="dxa"/>
            <w:tcBorders/>
            <w:shd w:fill="auto" w:val="clear"/>
            <w:vAlign w:val="bottom"/>
          </w:tcPr>
          <w:p>
            <w:pPr>
              <w:pStyle w:val="Normal"/>
              <w:rPr>
                <w:sz w:val="20"/>
                <w:szCs w:val="20"/>
              </w:rPr>
            </w:pPr>
            <w:r>
              <w:rPr>
                <w:sz w:val="20"/>
                <w:szCs w:val="20"/>
              </w:rPr>
            </w:r>
          </w:p>
        </w:tc>
        <w:tc>
          <w:tcPr>
            <w:tcW w:w="834" w:type="dxa"/>
            <w:tcBorders/>
            <w:shd w:fill="auto" w:val="clear"/>
            <w:vAlign w:val="bottom"/>
          </w:tcPr>
          <w:p>
            <w:pPr>
              <w:pStyle w:val="Normal"/>
              <w:rPr>
                <w:sz w:val="20"/>
                <w:szCs w:val="20"/>
              </w:rPr>
            </w:pPr>
            <w:r>
              <w:rPr>
                <w:sz w:val="20"/>
                <w:szCs w:val="20"/>
              </w:rPr>
            </w:r>
          </w:p>
        </w:tc>
        <w:tc>
          <w:tcPr>
            <w:tcW w:w="619" w:type="dxa"/>
            <w:tcBorders/>
            <w:shd w:fill="auto" w:val="clear"/>
            <w:vAlign w:val="bottom"/>
          </w:tcPr>
          <w:p>
            <w:pPr>
              <w:pStyle w:val="Normal"/>
              <w:rPr>
                <w:sz w:val="20"/>
                <w:szCs w:val="20"/>
              </w:rPr>
            </w:pPr>
            <w:r>
              <w:rPr>
                <w:sz w:val="20"/>
                <w:szCs w:val="20"/>
              </w:rPr>
            </w:r>
          </w:p>
        </w:tc>
        <w:tc>
          <w:tcPr>
            <w:tcW w:w="963" w:type="dxa"/>
            <w:tcBorders/>
            <w:shd w:fill="auto" w:val="clear"/>
            <w:vAlign w:val="bottom"/>
          </w:tcPr>
          <w:p>
            <w:pPr>
              <w:pStyle w:val="Normal"/>
              <w:rPr>
                <w:sz w:val="20"/>
                <w:szCs w:val="20"/>
              </w:rPr>
            </w:pPr>
            <w:r>
              <w:rPr>
                <w:sz w:val="20"/>
                <w:szCs w:val="20"/>
              </w:rPr>
            </w:r>
          </w:p>
        </w:tc>
        <w:tc>
          <w:tcPr>
            <w:tcW w:w="1058" w:type="dxa"/>
            <w:tcBorders/>
            <w:shd w:fill="auto" w:val="clear"/>
            <w:vAlign w:val="bottom"/>
          </w:tcPr>
          <w:p>
            <w:pPr>
              <w:pStyle w:val="Normal"/>
              <w:jc w:val="center"/>
              <w:rPr>
                <w:sz w:val="20"/>
                <w:szCs w:val="20"/>
              </w:rPr>
            </w:pPr>
            <w:r>
              <w:rPr>
                <w:sz w:val="20"/>
                <w:szCs w:val="20"/>
              </w:rPr>
            </w:r>
          </w:p>
        </w:tc>
        <w:tc>
          <w:tcPr>
            <w:tcW w:w="818" w:type="dxa"/>
            <w:tcBorders/>
            <w:shd w:fill="auto" w:val="clear"/>
            <w:vAlign w:val="bottom"/>
          </w:tcPr>
          <w:p>
            <w:pPr>
              <w:pStyle w:val="Normal"/>
              <w:jc w:val="center"/>
              <w:rPr>
                <w:sz w:val="20"/>
                <w:szCs w:val="20"/>
              </w:rPr>
            </w:pPr>
            <w:r>
              <w:rPr>
                <w:sz w:val="20"/>
                <w:szCs w:val="20"/>
              </w:rPr>
            </w:r>
          </w:p>
        </w:tc>
      </w:tr>
      <w:tr>
        <w:trPr>
          <w:trHeight w:val="300" w:hRule="atLeast"/>
        </w:trPr>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tcMar>
              <w:left w:w="65" w:type="dxa"/>
            </w:tcMar>
            <w:vAlign w:val="center"/>
          </w:tcPr>
          <w:p>
            <w:pPr>
              <w:pStyle w:val="Normal"/>
              <w:jc w:val="center"/>
              <w:rPr>
                <w:b/>
                <w:b/>
                <w:bCs/>
                <w:sz w:val="20"/>
                <w:szCs w:val="20"/>
              </w:rPr>
            </w:pPr>
            <w:r>
              <w:rPr>
                <w:b/>
                <w:bCs/>
                <w:sz w:val="20"/>
                <w:szCs w:val="20"/>
              </w:rPr>
              <w:t>POSTES</w:t>
            </w:r>
          </w:p>
        </w:tc>
        <w:tc>
          <w:tcPr>
            <w:tcW w:w="6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Coeff</w:t>
            </w:r>
          </w:p>
        </w:tc>
        <w:tc>
          <w:tcPr>
            <w:tcW w:w="6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 maj</w:t>
            </w:r>
          </w:p>
        </w:tc>
        <w:tc>
          <w:tcPr>
            <w:tcW w:w="7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pts maj</w:t>
            </w:r>
          </w:p>
        </w:tc>
        <w:tc>
          <w:tcPr>
            <w:tcW w:w="6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total 1</w:t>
            </w:r>
          </w:p>
        </w:tc>
        <w:tc>
          <w:tcPr>
            <w:tcW w:w="5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mois</w:t>
            </w:r>
          </w:p>
        </w:tc>
        <w:tc>
          <w:tcPr>
            <w:tcW w:w="1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pts annuels</w:t>
            </w:r>
          </w:p>
        </w:tc>
        <w:tc>
          <w:tcPr>
            <w:tcW w:w="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val point</w:t>
            </w:r>
          </w:p>
        </w:tc>
        <w:tc>
          <w:tcPr>
            <w:tcW w:w="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total 2</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tx charges</w:t>
            </w:r>
          </w:p>
        </w:tc>
        <w:tc>
          <w:tcPr>
            <w:tcW w:w="10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val charges</w:t>
            </w:r>
          </w:p>
        </w:tc>
        <w:tc>
          <w:tcPr>
            <w:tcW w:w="8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C0C0C0" w:val="clear"/>
            <w:vAlign w:val="center"/>
          </w:tcPr>
          <w:p>
            <w:pPr>
              <w:pStyle w:val="Normal"/>
              <w:jc w:val="center"/>
              <w:rPr>
                <w:b/>
                <w:b/>
                <w:bCs/>
                <w:sz w:val="20"/>
                <w:szCs w:val="20"/>
              </w:rPr>
            </w:pPr>
            <w:r>
              <w:rPr>
                <w:b/>
                <w:bCs/>
                <w:sz w:val="20"/>
                <w:szCs w:val="20"/>
              </w:rPr>
              <w:t>total</w:t>
            </w:r>
          </w:p>
        </w:tc>
      </w:tr>
      <w:tr>
        <w:trPr>
          <w:trHeight w:val="300" w:hRule="atLeast"/>
        </w:trPr>
        <w:tc>
          <w:tcPr>
            <w:tcW w:w="1709" w:type="dxa"/>
            <w:tcBorders>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 </w:t>
            </w:r>
          </w:p>
        </w:tc>
        <w:tc>
          <w:tcPr>
            <w:tcW w:w="609"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690"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713"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607"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541"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1059"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834"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619"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963"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1058"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818"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r>
      <w:tr>
        <w:trPr>
          <w:trHeight w:val="300" w:hRule="atLeast"/>
        </w:trPr>
        <w:tc>
          <w:tcPr>
            <w:tcW w:w="1709" w:type="dxa"/>
            <w:tcBorders>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 </w:t>
            </w:r>
          </w:p>
        </w:tc>
        <w:tc>
          <w:tcPr>
            <w:tcW w:w="609"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690"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713"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607"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541"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1059"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834"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619" w:type="dxa"/>
            <w:tcBorders>
              <w:left w:val="single" w:sz="4" w:space="0" w:color="00000A"/>
              <w:right w:val="single" w:sz="4" w:space="0" w:color="00000A"/>
              <w:insideV w:val="single" w:sz="4" w:space="0" w:color="00000A"/>
            </w:tcBorders>
            <w:shd w:color="000000" w:fill="FFFF99" w:val="clear"/>
            <w:vAlign w:val="bottom"/>
          </w:tcPr>
          <w:p>
            <w:pPr>
              <w:pStyle w:val="Normal"/>
              <w:rPr>
                <w:sz w:val="20"/>
                <w:szCs w:val="20"/>
              </w:rPr>
            </w:pPr>
            <w:r>
              <w:rPr>
                <w:sz w:val="20"/>
                <w:szCs w:val="20"/>
              </w:rPr>
              <w:t> </w:t>
            </w:r>
          </w:p>
        </w:tc>
        <w:tc>
          <w:tcPr>
            <w:tcW w:w="963" w:type="dxa"/>
            <w:tcBorders>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1058"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818" w:type="dxa"/>
            <w:tcBorders>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r>
      <w:tr>
        <w:trPr>
          <w:trHeight w:val="300" w:hRule="atLeast"/>
        </w:trPr>
        <w:tc>
          <w:tcPr>
            <w:tcW w:w="1709" w:type="dxa"/>
            <w:tcBorders>
              <w:top w:val="single" w:sz="4" w:space="0" w:color="00000A"/>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 </w:t>
            </w:r>
          </w:p>
        </w:tc>
        <w:tc>
          <w:tcPr>
            <w:tcW w:w="609"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 </w:t>
            </w:r>
          </w:p>
        </w:tc>
        <w:tc>
          <w:tcPr>
            <w:tcW w:w="690"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 </w:t>
            </w:r>
          </w:p>
        </w:tc>
        <w:tc>
          <w:tcPr>
            <w:tcW w:w="713"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 </w:t>
            </w:r>
          </w:p>
        </w:tc>
        <w:tc>
          <w:tcPr>
            <w:tcW w:w="6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541"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105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b/>
                <w:b/>
                <w:bCs/>
                <w:color w:val="FF0000"/>
                <w:sz w:val="20"/>
                <w:szCs w:val="20"/>
              </w:rPr>
            </w:pPr>
            <w:r>
              <w:rPr>
                <w:b/>
                <w:bCs/>
                <w:color w:val="FF0000"/>
                <w:sz w:val="20"/>
                <w:szCs w:val="20"/>
              </w:rPr>
              <w:t> </w:t>
            </w:r>
          </w:p>
        </w:tc>
        <w:tc>
          <w:tcPr>
            <w:tcW w:w="834"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color w:val="7030A0"/>
                <w:sz w:val="20"/>
                <w:szCs w:val="20"/>
              </w:rPr>
            </w:pPr>
            <w:r>
              <w:rPr>
                <w:color w:val="7030A0"/>
                <w:sz w:val="20"/>
                <w:szCs w:val="20"/>
              </w:rPr>
              <w:t> </w:t>
            </w:r>
          </w:p>
        </w:tc>
        <w:tc>
          <w:tcPr>
            <w:tcW w:w="61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color w:val="7030A0"/>
                <w:sz w:val="20"/>
                <w:szCs w:val="20"/>
              </w:rPr>
            </w:pPr>
            <w:r>
              <w:rPr>
                <w:color w:val="7030A0"/>
                <w:sz w:val="20"/>
                <w:szCs w:val="20"/>
              </w:rPr>
              <w:t> </w:t>
            </w:r>
          </w:p>
        </w:tc>
        <w:tc>
          <w:tcPr>
            <w:tcW w:w="96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color w:val="7030A0"/>
                <w:sz w:val="20"/>
                <w:szCs w:val="20"/>
              </w:rPr>
            </w:pPr>
            <w:r>
              <w:rPr>
                <w:color w:val="7030A0"/>
                <w:sz w:val="20"/>
                <w:szCs w:val="20"/>
              </w:rPr>
              <w:t> </w:t>
            </w:r>
          </w:p>
        </w:tc>
        <w:tc>
          <w:tcPr>
            <w:tcW w:w="105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color w:val="7030A0"/>
                <w:sz w:val="20"/>
                <w:szCs w:val="20"/>
              </w:rPr>
            </w:pPr>
            <w:r>
              <w:rPr>
                <w:color w:val="7030A0"/>
                <w:sz w:val="20"/>
                <w:szCs w:val="20"/>
              </w:rPr>
              <w:t> </w:t>
            </w:r>
          </w:p>
        </w:tc>
        <w:tc>
          <w:tcPr>
            <w:tcW w:w="81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color w:val="7030A0"/>
                <w:sz w:val="20"/>
                <w:szCs w:val="20"/>
              </w:rPr>
            </w:pPr>
            <w:r>
              <w:rPr>
                <w:color w:val="7030A0"/>
                <w:sz w:val="20"/>
                <w:szCs w:val="20"/>
              </w:rPr>
              <w:t> </w:t>
            </w:r>
          </w:p>
        </w:tc>
      </w:tr>
      <w:tr>
        <w:trPr>
          <w:trHeight w:val="300" w:hRule="atLeast"/>
        </w:trPr>
        <w:tc>
          <w:tcPr>
            <w:tcW w:w="1709" w:type="dxa"/>
            <w:tcBorders>
              <w:top w:val="single" w:sz="4" w:space="0" w:color="00000A"/>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CESF</w:t>
            </w:r>
          </w:p>
        </w:tc>
        <w:tc>
          <w:tcPr>
            <w:tcW w:w="609"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446</w:t>
            </w:r>
          </w:p>
        </w:tc>
        <w:tc>
          <w:tcPr>
            <w:tcW w:w="690"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0,0821</w:t>
            </w:r>
          </w:p>
        </w:tc>
        <w:tc>
          <w:tcPr>
            <w:tcW w:w="71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37</w:t>
            </w:r>
          </w:p>
        </w:tc>
        <w:tc>
          <w:tcPr>
            <w:tcW w:w="607" w:type="dxa"/>
            <w:tcBorders>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483</w:t>
            </w:r>
          </w:p>
        </w:tc>
        <w:tc>
          <w:tcPr>
            <w:tcW w:w="541"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12</w:t>
            </w:r>
          </w:p>
        </w:tc>
        <w:tc>
          <w:tcPr>
            <w:tcW w:w="105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5 791</w:t>
            </w:r>
          </w:p>
        </w:tc>
        <w:tc>
          <w:tcPr>
            <w:tcW w:w="834"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3,78</w:t>
            </w:r>
          </w:p>
        </w:tc>
        <w:tc>
          <w:tcPr>
            <w:tcW w:w="61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26 979</w:t>
            </w:r>
          </w:p>
        </w:tc>
        <w:tc>
          <w:tcPr>
            <w:tcW w:w="96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0,55</w:t>
            </w:r>
          </w:p>
        </w:tc>
        <w:tc>
          <w:tcPr>
            <w:tcW w:w="105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14 838</w:t>
            </w:r>
          </w:p>
        </w:tc>
        <w:tc>
          <w:tcPr>
            <w:tcW w:w="81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41 817</w:t>
            </w:r>
          </w:p>
        </w:tc>
      </w:tr>
      <w:tr>
        <w:trPr>
          <w:trHeight w:val="300" w:hRule="atLeast"/>
        </w:trPr>
        <w:tc>
          <w:tcPr>
            <w:tcW w:w="1709" w:type="dxa"/>
            <w:tcBorders>
              <w:top w:val="single" w:sz="4" w:space="0" w:color="00000A"/>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maitre de maison</w:t>
            </w:r>
          </w:p>
        </w:tc>
        <w:tc>
          <w:tcPr>
            <w:tcW w:w="609"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368</w:t>
            </w:r>
          </w:p>
        </w:tc>
        <w:tc>
          <w:tcPr>
            <w:tcW w:w="690"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0,0821</w:t>
            </w:r>
          </w:p>
        </w:tc>
        <w:tc>
          <w:tcPr>
            <w:tcW w:w="71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30</w:t>
            </w:r>
          </w:p>
        </w:tc>
        <w:tc>
          <w:tcPr>
            <w:tcW w:w="607"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398</w:t>
            </w:r>
          </w:p>
        </w:tc>
        <w:tc>
          <w:tcPr>
            <w:tcW w:w="541"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12</w:t>
            </w:r>
          </w:p>
        </w:tc>
        <w:tc>
          <w:tcPr>
            <w:tcW w:w="105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4 779</w:t>
            </w:r>
          </w:p>
        </w:tc>
        <w:tc>
          <w:tcPr>
            <w:tcW w:w="834"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3,78</w:t>
            </w:r>
          </w:p>
        </w:tc>
        <w:tc>
          <w:tcPr>
            <w:tcW w:w="61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18 136</w:t>
            </w:r>
          </w:p>
        </w:tc>
        <w:tc>
          <w:tcPr>
            <w:tcW w:w="96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0,55</w:t>
            </w:r>
          </w:p>
        </w:tc>
        <w:tc>
          <w:tcPr>
            <w:tcW w:w="105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9 975</w:t>
            </w:r>
          </w:p>
        </w:tc>
        <w:tc>
          <w:tcPr>
            <w:tcW w:w="81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28 111</w:t>
            </w:r>
          </w:p>
        </w:tc>
      </w:tr>
      <w:tr>
        <w:trPr>
          <w:trHeight w:val="300" w:hRule="atLeast"/>
        </w:trPr>
        <w:tc>
          <w:tcPr>
            <w:tcW w:w="1709" w:type="dxa"/>
            <w:tcBorders>
              <w:top w:val="single" w:sz="4" w:space="0" w:color="00000A"/>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surveillant de nuit</w:t>
            </w:r>
          </w:p>
        </w:tc>
        <w:tc>
          <w:tcPr>
            <w:tcW w:w="609"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368</w:t>
            </w:r>
          </w:p>
        </w:tc>
        <w:tc>
          <w:tcPr>
            <w:tcW w:w="690"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0,0821</w:t>
            </w:r>
          </w:p>
        </w:tc>
        <w:tc>
          <w:tcPr>
            <w:tcW w:w="71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30</w:t>
            </w:r>
          </w:p>
        </w:tc>
        <w:tc>
          <w:tcPr>
            <w:tcW w:w="607"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398</w:t>
            </w:r>
          </w:p>
        </w:tc>
        <w:tc>
          <w:tcPr>
            <w:tcW w:w="541"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12</w:t>
            </w:r>
          </w:p>
        </w:tc>
        <w:tc>
          <w:tcPr>
            <w:tcW w:w="105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4 779</w:t>
            </w:r>
          </w:p>
        </w:tc>
        <w:tc>
          <w:tcPr>
            <w:tcW w:w="834"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3,78</w:t>
            </w:r>
          </w:p>
        </w:tc>
        <w:tc>
          <w:tcPr>
            <w:tcW w:w="61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18 136</w:t>
            </w:r>
          </w:p>
        </w:tc>
        <w:tc>
          <w:tcPr>
            <w:tcW w:w="96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0,55</w:t>
            </w:r>
          </w:p>
        </w:tc>
        <w:tc>
          <w:tcPr>
            <w:tcW w:w="105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9 975</w:t>
            </w:r>
          </w:p>
        </w:tc>
        <w:tc>
          <w:tcPr>
            <w:tcW w:w="81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28 111</w:t>
            </w:r>
          </w:p>
        </w:tc>
      </w:tr>
      <w:tr>
        <w:trPr>
          <w:trHeight w:val="300" w:hRule="atLeast"/>
        </w:trPr>
        <w:tc>
          <w:tcPr>
            <w:tcW w:w="1709" w:type="dxa"/>
            <w:tcBorders>
              <w:top w:val="single" w:sz="4" w:space="0" w:color="00000A"/>
              <w:left w:val="single" w:sz="4" w:space="0" w:color="00000A"/>
              <w:right w:val="single" w:sz="4" w:space="0" w:color="00000A"/>
              <w:insideV w:val="single" w:sz="4" w:space="0" w:color="00000A"/>
            </w:tcBorders>
            <w:shd w:color="000000" w:fill="FFFF99" w:val="clear"/>
            <w:tcMar>
              <w:left w:w="65" w:type="dxa"/>
            </w:tcMar>
            <w:vAlign w:val="bottom"/>
          </w:tcPr>
          <w:p>
            <w:pPr>
              <w:pStyle w:val="Normal"/>
              <w:rPr>
                <w:b/>
                <w:b/>
                <w:bCs/>
                <w:sz w:val="20"/>
                <w:szCs w:val="20"/>
              </w:rPr>
            </w:pPr>
            <w:r>
              <w:rPr>
                <w:b/>
                <w:bCs/>
                <w:sz w:val="20"/>
                <w:szCs w:val="20"/>
              </w:rPr>
              <w:t> </w:t>
            </w:r>
          </w:p>
        </w:tc>
        <w:tc>
          <w:tcPr>
            <w:tcW w:w="60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rPr>
                <w:b/>
                <w:b/>
                <w:bCs/>
                <w:sz w:val="20"/>
                <w:szCs w:val="20"/>
              </w:rPr>
            </w:pPr>
            <w:r>
              <w:rPr>
                <w:b/>
                <w:bCs/>
                <w:sz w:val="20"/>
                <w:szCs w:val="20"/>
              </w:rPr>
              <w:t> </w:t>
            </w:r>
          </w:p>
        </w:tc>
        <w:tc>
          <w:tcPr>
            <w:tcW w:w="690"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713" w:type="dxa"/>
            <w:tcBorders>
              <w:top w:val="single" w:sz="4" w:space="0" w:color="00000A"/>
              <w:left w:val="single" w:sz="4" w:space="0" w:color="00000A"/>
              <w:right w:val="single" w:sz="4" w:space="0" w:color="00000A"/>
              <w:insideV w:val="single" w:sz="4" w:space="0" w:color="00000A"/>
            </w:tcBorders>
            <w:shd w:color="000000" w:fill="FFFF99" w:val="clear"/>
            <w:vAlign w:val="center"/>
          </w:tcPr>
          <w:p>
            <w:pPr>
              <w:pStyle w:val="Normal"/>
              <w:jc w:val="center"/>
              <w:rPr>
                <w:b/>
                <w:b/>
                <w:bCs/>
                <w:sz w:val="20"/>
                <w:szCs w:val="20"/>
              </w:rPr>
            </w:pPr>
            <w:r>
              <w:rPr>
                <w:b/>
                <w:bCs/>
                <w:sz w:val="20"/>
                <w:szCs w:val="20"/>
              </w:rPr>
              <w:t> </w:t>
            </w:r>
          </w:p>
        </w:tc>
        <w:tc>
          <w:tcPr>
            <w:tcW w:w="607"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541"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b/>
                <w:b/>
                <w:bCs/>
                <w:sz w:val="20"/>
                <w:szCs w:val="20"/>
              </w:rPr>
            </w:pPr>
            <w:r>
              <w:rPr>
                <w:b/>
                <w:bCs/>
                <w:sz w:val="20"/>
                <w:szCs w:val="20"/>
              </w:rPr>
              <w:t> </w:t>
            </w:r>
          </w:p>
        </w:tc>
        <w:tc>
          <w:tcPr>
            <w:tcW w:w="105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834"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619"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963"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105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c>
          <w:tcPr>
            <w:tcW w:w="818" w:type="dxa"/>
            <w:tcBorders>
              <w:top w:val="single" w:sz="4" w:space="0" w:color="00000A"/>
              <w:left w:val="single" w:sz="4" w:space="0" w:color="00000A"/>
              <w:right w:val="single" w:sz="4" w:space="0" w:color="00000A"/>
              <w:insideV w:val="single" w:sz="4" w:space="0" w:color="00000A"/>
            </w:tcBorders>
            <w:shd w:color="000000" w:fill="FFFF99" w:val="clear"/>
            <w:vAlign w:val="bottom"/>
          </w:tcPr>
          <w:p>
            <w:pPr>
              <w:pStyle w:val="Normal"/>
              <w:jc w:val="center"/>
              <w:rPr>
                <w:sz w:val="20"/>
                <w:szCs w:val="20"/>
              </w:rPr>
            </w:pPr>
            <w:r>
              <w:rPr>
                <w:sz w:val="20"/>
                <w:szCs w:val="20"/>
              </w:rPr>
              <w:t> </w:t>
            </w:r>
          </w:p>
        </w:tc>
      </w:tr>
      <w:tr>
        <w:trPr>
          <w:trHeight w:val="315" w:hRule="atLeast"/>
        </w:trPr>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rPr>
                <w:sz w:val="20"/>
                <w:szCs w:val="20"/>
              </w:rPr>
            </w:pPr>
            <w:r>
              <w:rPr>
                <w:sz w:val="20"/>
                <w:szCs w:val="20"/>
              </w:rPr>
              <w:t> </w:t>
            </w:r>
          </w:p>
        </w:tc>
        <w:tc>
          <w:tcPr>
            <w:tcW w:w="6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rPr>
                <w:sz w:val="20"/>
                <w:szCs w:val="20"/>
              </w:rPr>
            </w:pPr>
            <w:r>
              <w:rPr>
                <w:sz w:val="20"/>
                <w:szCs w:val="20"/>
              </w:rPr>
              <w:t> </w:t>
            </w:r>
          </w:p>
        </w:tc>
        <w:tc>
          <w:tcPr>
            <w:tcW w:w="6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sz w:val="20"/>
                <w:szCs w:val="20"/>
              </w:rPr>
            </w:pPr>
            <w:r>
              <w:rPr>
                <w:sz w:val="20"/>
                <w:szCs w:val="20"/>
              </w:rPr>
              <w:t> </w:t>
            </w:r>
          </w:p>
        </w:tc>
        <w:tc>
          <w:tcPr>
            <w:tcW w:w="7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sz w:val="20"/>
                <w:szCs w:val="20"/>
              </w:rPr>
            </w:pPr>
            <w:r>
              <w:rPr>
                <w:sz w:val="20"/>
                <w:szCs w:val="20"/>
              </w:rPr>
              <w:t> </w:t>
            </w:r>
          </w:p>
        </w:tc>
        <w:tc>
          <w:tcPr>
            <w:tcW w:w="6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5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1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10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818" w:type="dxa"/>
            <w:tcBorders>
              <w:top w:val="single" w:sz="4" w:space="0" w:color="00000A"/>
              <w:left w:val="single" w:sz="4" w:space="0" w:color="00000A"/>
              <w:right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r>
      <w:tr>
        <w:trPr>
          <w:trHeight w:val="315" w:hRule="atLeast"/>
        </w:trPr>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rPr>
                <w:b/>
                <w:b/>
                <w:bCs/>
                <w:sz w:val="20"/>
                <w:szCs w:val="20"/>
              </w:rPr>
            </w:pPr>
            <w:r>
              <w:rPr>
                <w:b/>
                <w:bCs/>
                <w:sz w:val="20"/>
                <w:szCs w:val="20"/>
              </w:rPr>
              <w:t>TOTAL 1</w:t>
            </w:r>
          </w:p>
        </w:tc>
        <w:tc>
          <w:tcPr>
            <w:tcW w:w="6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rPr>
                <w:b/>
                <w:b/>
                <w:bCs/>
                <w:sz w:val="20"/>
                <w:szCs w:val="20"/>
              </w:rPr>
            </w:pPr>
            <w:r>
              <w:rPr>
                <w:b/>
                <w:bCs/>
                <w:sz w:val="20"/>
                <w:szCs w:val="20"/>
              </w:rPr>
              <w:t> </w:t>
            </w:r>
          </w:p>
        </w:tc>
        <w:tc>
          <w:tcPr>
            <w:tcW w:w="6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sz w:val="20"/>
                <w:szCs w:val="20"/>
              </w:rPr>
            </w:pPr>
            <w:r>
              <w:rPr>
                <w:sz w:val="20"/>
                <w:szCs w:val="20"/>
              </w:rPr>
              <w:t>0</w:t>
            </w:r>
          </w:p>
        </w:tc>
        <w:tc>
          <w:tcPr>
            <w:tcW w:w="7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sz w:val="20"/>
                <w:szCs w:val="20"/>
              </w:rPr>
            </w:pPr>
            <w:r>
              <w:rPr>
                <w:sz w:val="20"/>
                <w:szCs w:val="20"/>
              </w:rPr>
              <w:t> </w:t>
            </w:r>
          </w:p>
        </w:tc>
        <w:tc>
          <w:tcPr>
            <w:tcW w:w="6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1 279</w:t>
            </w:r>
          </w:p>
        </w:tc>
        <w:tc>
          <w:tcPr>
            <w:tcW w:w="5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1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15 349</w:t>
            </w:r>
          </w:p>
        </w:tc>
        <w:tc>
          <w:tcPr>
            <w:tcW w:w="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63 251</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jc w:val="center"/>
              <w:rPr>
                <w:sz w:val="20"/>
                <w:szCs w:val="20"/>
              </w:rPr>
            </w:pPr>
            <w:r>
              <w:rPr>
                <w:sz w:val="20"/>
                <w:szCs w:val="20"/>
              </w:rPr>
              <w:t> </w:t>
            </w:r>
          </w:p>
        </w:tc>
        <w:tc>
          <w:tcPr>
            <w:tcW w:w="1058" w:type="dxa"/>
            <w:tcBorders>
              <w:top w:val="single" w:sz="4" w:space="0" w:color="00000A"/>
              <w:bottom w:val="single" w:sz="4" w:space="0" w:color="00000A"/>
              <w:insideH w:val="single" w:sz="4" w:space="0" w:color="00000A"/>
            </w:tcBorders>
            <w:shd w:fill="auto" w:val="clear"/>
            <w:vAlign w:val="bottom"/>
          </w:tcPr>
          <w:p>
            <w:pPr>
              <w:pStyle w:val="Normal"/>
              <w:jc w:val="center"/>
              <w:rPr>
                <w:sz w:val="20"/>
                <w:szCs w:val="20"/>
              </w:rPr>
            </w:pPr>
            <w:r>
              <w:rPr>
                <w:sz w:val="20"/>
                <w:szCs w:val="20"/>
              </w:rPr>
              <w:t>34 788</w:t>
            </w:r>
          </w:p>
        </w:tc>
        <w:tc>
          <w:tcPr>
            <w:tcW w:w="81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center"/>
              <w:rPr>
                <w:sz w:val="20"/>
                <w:szCs w:val="20"/>
              </w:rPr>
            </w:pPr>
            <w:r>
              <w:rPr>
                <w:sz w:val="20"/>
                <w:szCs w:val="20"/>
              </w:rPr>
              <w:t>98 039</w:t>
            </w:r>
          </w:p>
        </w:tc>
      </w:tr>
      <w:tr>
        <w:trPr>
          <w:trHeight w:val="300" w:hRule="atLeast"/>
        </w:trPr>
        <w:tc>
          <w:tcPr>
            <w:tcW w:w="1709" w:type="dxa"/>
            <w:tcBorders>
              <w:left w:val="single" w:sz="4" w:space="0" w:color="00000A"/>
              <w:right w:val="single" w:sz="4" w:space="0" w:color="00000A"/>
              <w:insideV w:val="single" w:sz="4" w:space="0" w:color="00000A"/>
            </w:tcBorders>
            <w:shd w:fill="auto" w:val="clear"/>
            <w:tcMar>
              <w:left w:w="65" w:type="dxa"/>
            </w:tcMar>
            <w:vAlign w:val="bottom"/>
          </w:tcPr>
          <w:p>
            <w:pPr>
              <w:pStyle w:val="Normal"/>
              <w:rPr>
                <w:color w:val="000000"/>
                <w:sz w:val="20"/>
                <w:szCs w:val="20"/>
              </w:rPr>
            </w:pPr>
            <w:r>
              <w:rPr>
                <w:color w:val="000000"/>
                <w:sz w:val="20"/>
                <w:szCs w:val="20"/>
              </w:rPr>
              <w:t> </w:t>
            </w:r>
          </w:p>
        </w:tc>
        <w:tc>
          <w:tcPr>
            <w:tcW w:w="609"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690"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713"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607"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541"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1059"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834"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619"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963"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1058"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c>
          <w:tcPr>
            <w:tcW w:w="818" w:type="dxa"/>
            <w:tcBorders>
              <w:left w:val="single" w:sz="4" w:space="0" w:color="00000A"/>
              <w:right w:val="single" w:sz="4" w:space="0" w:color="00000A"/>
              <w:insideV w:val="single" w:sz="4" w:space="0" w:color="00000A"/>
            </w:tcBorders>
            <w:shd w:fill="auto" w:val="clear"/>
            <w:vAlign w:val="bottom"/>
          </w:tcPr>
          <w:p>
            <w:pPr>
              <w:pStyle w:val="Normal"/>
              <w:rPr>
                <w:color w:val="000000"/>
                <w:sz w:val="20"/>
                <w:szCs w:val="20"/>
              </w:rPr>
            </w:pPr>
            <w:r>
              <w:rPr>
                <w:color w:val="000000"/>
                <w:sz w:val="20"/>
                <w:szCs w:val="20"/>
              </w:rPr>
              <w:t> </w:t>
            </w:r>
          </w:p>
        </w:tc>
      </w:tr>
      <w:tr>
        <w:trPr>
          <w:trHeight w:val="300" w:hRule="atLeast"/>
        </w:trPr>
        <w:tc>
          <w:tcPr>
            <w:tcW w:w="3008" w:type="dxa"/>
            <w:gridSpan w:val="3"/>
            <w:tcBorders>
              <w:top w:val="single" w:sz="4" w:space="0" w:color="00000A"/>
              <w:left w:val="single" w:sz="4" w:space="0" w:color="00000A"/>
              <w:bottom w:val="single" w:sz="4" w:space="0" w:color="00000A"/>
              <w:insideH w:val="single" w:sz="4" w:space="0" w:color="00000A"/>
            </w:tcBorders>
            <w:shd w:color="000000" w:fill="FFFF99" w:val="clear"/>
            <w:tcMar>
              <w:left w:w="65" w:type="dxa"/>
            </w:tcMar>
            <w:vAlign w:val="bottom"/>
          </w:tcPr>
          <w:p>
            <w:pPr>
              <w:pStyle w:val="Normal"/>
              <w:rPr>
                <w:b/>
                <w:b/>
                <w:bCs/>
                <w:sz w:val="20"/>
                <w:szCs w:val="20"/>
              </w:rPr>
            </w:pPr>
            <w:r>
              <w:rPr>
                <w:b/>
                <w:bCs/>
                <w:sz w:val="20"/>
                <w:szCs w:val="20"/>
              </w:rPr>
              <w:t>Frais de médecine du travail</w:t>
            </w:r>
          </w:p>
        </w:tc>
        <w:tc>
          <w:tcPr>
            <w:tcW w:w="713"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607"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541"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1059"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834"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619"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963"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1058" w:type="dxa"/>
            <w:tcBorders>
              <w:top w:val="single" w:sz="4" w:space="0" w:color="00000A"/>
              <w:bottom w:val="single" w:sz="4" w:space="0" w:color="00000A"/>
              <w:insideH w:val="single" w:sz="4" w:space="0" w:color="00000A"/>
            </w:tcBorders>
            <w:shd w:color="000000" w:fill="FFFF99" w:val="clear"/>
            <w:vAlign w:val="bottom"/>
          </w:tcPr>
          <w:p>
            <w:pPr>
              <w:pStyle w:val="Normal"/>
              <w:rPr>
                <w:b/>
                <w:b/>
                <w:bCs/>
                <w:sz w:val="20"/>
                <w:szCs w:val="20"/>
              </w:rPr>
            </w:pPr>
            <w:r>
              <w:rPr>
                <w:b/>
                <w:bCs/>
                <w:sz w:val="20"/>
                <w:szCs w:val="20"/>
              </w:rPr>
              <w:t> </w:t>
            </w:r>
          </w:p>
        </w:tc>
        <w:tc>
          <w:tcPr>
            <w:tcW w:w="8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FFFF99" w:val="clear"/>
            <w:tcMar>
              <w:left w:w="65" w:type="dxa"/>
            </w:tcMar>
            <w:vAlign w:val="bottom"/>
          </w:tcPr>
          <w:p>
            <w:pPr>
              <w:pStyle w:val="Normal"/>
              <w:jc w:val="center"/>
              <w:rPr>
                <w:sz w:val="20"/>
                <w:szCs w:val="20"/>
              </w:rPr>
            </w:pPr>
            <w:r>
              <w:rPr>
                <w:sz w:val="20"/>
                <w:szCs w:val="20"/>
              </w:rPr>
              <w:t>700</w:t>
            </w:r>
          </w:p>
        </w:tc>
      </w:tr>
      <w:tr>
        <w:trPr>
          <w:trHeight w:val="315" w:hRule="atLeast"/>
        </w:trPr>
        <w:tc>
          <w:tcPr>
            <w:tcW w:w="2318" w:type="dxa"/>
            <w:gridSpan w:val="2"/>
            <w:tcBorders>
              <w:left w:val="single" w:sz="4" w:space="0" w:color="00000A"/>
            </w:tcBorders>
            <w:shd w:color="000000" w:fill="FFFF99" w:val="clear"/>
            <w:tcMar>
              <w:left w:w="65" w:type="dxa"/>
            </w:tcMar>
            <w:vAlign w:val="bottom"/>
          </w:tcPr>
          <w:p>
            <w:pPr>
              <w:pStyle w:val="Normal"/>
              <w:rPr>
                <w:b/>
                <w:b/>
                <w:bCs/>
                <w:sz w:val="20"/>
                <w:szCs w:val="20"/>
              </w:rPr>
            </w:pPr>
            <w:r>
              <w:rPr>
                <w:b/>
                <w:bCs/>
                <w:sz w:val="20"/>
                <w:szCs w:val="20"/>
              </w:rPr>
              <w:t>Dimanches, jours fériés</w:t>
            </w:r>
          </w:p>
        </w:tc>
        <w:tc>
          <w:tcPr>
            <w:tcW w:w="690" w:type="dxa"/>
            <w:tcBorders/>
            <w:shd w:color="000000" w:fill="FFFF99" w:val="clear"/>
            <w:vAlign w:val="bottom"/>
          </w:tcPr>
          <w:p>
            <w:pPr>
              <w:pStyle w:val="Normal"/>
              <w:rPr>
                <w:b/>
                <w:b/>
                <w:bCs/>
                <w:sz w:val="20"/>
                <w:szCs w:val="20"/>
              </w:rPr>
            </w:pPr>
            <w:r>
              <w:rPr>
                <w:b/>
                <w:bCs/>
                <w:sz w:val="20"/>
                <w:szCs w:val="20"/>
              </w:rPr>
              <w:t> </w:t>
            </w:r>
          </w:p>
        </w:tc>
        <w:tc>
          <w:tcPr>
            <w:tcW w:w="713" w:type="dxa"/>
            <w:tcBorders/>
            <w:shd w:color="000000" w:fill="FFFF99" w:val="clear"/>
            <w:vAlign w:val="bottom"/>
          </w:tcPr>
          <w:p>
            <w:pPr>
              <w:pStyle w:val="Normal"/>
              <w:rPr>
                <w:b/>
                <w:b/>
                <w:bCs/>
                <w:sz w:val="20"/>
                <w:szCs w:val="20"/>
              </w:rPr>
            </w:pPr>
            <w:r>
              <w:rPr>
                <w:b/>
                <w:bCs/>
                <w:sz w:val="20"/>
                <w:szCs w:val="20"/>
              </w:rPr>
              <w:t> </w:t>
            </w:r>
          </w:p>
        </w:tc>
        <w:tc>
          <w:tcPr>
            <w:tcW w:w="607" w:type="dxa"/>
            <w:tcBorders/>
            <w:shd w:color="000000" w:fill="FFFF99" w:val="clear"/>
            <w:vAlign w:val="bottom"/>
          </w:tcPr>
          <w:p>
            <w:pPr>
              <w:pStyle w:val="Normal"/>
              <w:rPr>
                <w:b/>
                <w:b/>
                <w:bCs/>
                <w:sz w:val="20"/>
                <w:szCs w:val="20"/>
              </w:rPr>
            </w:pPr>
            <w:r>
              <w:rPr>
                <w:b/>
                <w:bCs/>
                <w:sz w:val="20"/>
                <w:szCs w:val="20"/>
              </w:rPr>
              <w:t> </w:t>
            </w:r>
          </w:p>
        </w:tc>
        <w:tc>
          <w:tcPr>
            <w:tcW w:w="541" w:type="dxa"/>
            <w:tcBorders/>
            <w:shd w:color="000000" w:fill="FFFF99" w:val="clear"/>
            <w:vAlign w:val="bottom"/>
          </w:tcPr>
          <w:p>
            <w:pPr>
              <w:pStyle w:val="Normal"/>
              <w:rPr>
                <w:b/>
                <w:b/>
                <w:bCs/>
                <w:sz w:val="20"/>
                <w:szCs w:val="20"/>
              </w:rPr>
            </w:pPr>
            <w:r>
              <w:rPr>
                <w:b/>
                <w:bCs/>
                <w:sz w:val="20"/>
                <w:szCs w:val="20"/>
              </w:rPr>
              <w:t> </w:t>
            </w:r>
          </w:p>
        </w:tc>
        <w:tc>
          <w:tcPr>
            <w:tcW w:w="1059" w:type="dxa"/>
            <w:tcBorders/>
            <w:shd w:color="000000" w:fill="FFFF99" w:val="clear"/>
            <w:vAlign w:val="bottom"/>
          </w:tcPr>
          <w:p>
            <w:pPr>
              <w:pStyle w:val="Normal"/>
              <w:rPr>
                <w:b/>
                <w:b/>
                <w:bCs/>
                <w:sz w:val="20"/>
                <w:szCs w:val="20"/>
              </w:rPr>
            </w:pPr>
            <w:r>
              <w:rPr>
                <w:b/>
                <w:bCs/>
                <w:sz w:val="20"/>
                <w:szCs w:val="20"/>
              </w:rPr>
              <w:t> </w:t>
            </w:r>
          </w:p>
        </w:tc>
        <w:tc>
          <w:tcPr>
            <w:tcW w:w="834" w:type="dxa"/>
            <w:tcBorders/>
            <w:shd w:color="000000" w:fill="FFFF99" w:val="clear"/>
            <w:vAlign w:val="bottom"/>
          </w:tcPr>
          <w:p>
            <w:pPr>
              <w:pStyle w:val="Normal"/>
              <w:rPr>
                <w:b/>
                <w:b/>
                <w:bCs/>
                <w:sz w:val="20"/>
                <w:szCs w:val="20"/>
              </w:rPr>
            </w:pPr>
            <w:r>
              <w:rPr>
                <w:b/>
                <w:bCs/>
                <w:sz w:val="20"/>
                <w:szCs w:val="20"/>
              </w:rPr>
              <w:t> </w:t>
            </w:r>
          </w:p>
        </w:tc>
        <w:tc>
          <w:tcPr>
            <w:tcW w:w="619" w:type="dxa"/>
            <w:tcBorders/>
            <w:shd w:color="000000" w:fill="FFFF99" w:val="clear"/>
            <w:vAlign w:val="bottom"/>
          </w:tcPr>
          <w:p>
            <w:pPr>
              <w:pStyle w:val="Normal"/>
              <w:rPr>
                <w:b/>
                <w:b/>
                <w:bCs/>
                <w:sz w:val="20"/>
                <w:szCs w:val="20"/>
              </w:rPr>
            </w:pPr>
            <w:r>
              <w:rPr>
                <w:b/>
                <w:bCs/>
                <w:sz w:val="20"/>
                <w:szCs w:val="20"/>
              </w:rPr>
              <w:t> </w:t>
            </w:r>
          </w:p>
        </w:tc>
        <w:tc>
          <w:tcPr>
            <w:tcW w:w="963" w:type="dxa"/>
            <w:tcBorders/>
            <w:shd w:color="000000" w:fill="FFFF99" w:val="clear"/>
            <w:vAlign w:val="bottom"/>
          </w:tcPr>
          <w:p>
            <w:pPr>
              <w:pStyle w:val="Normal"/>
              <w:rPr>
                <w:b/>
                <w:b/>
                <w:bCs/>
                <w:sz w:val="20"/>
                <w:szCs w:val="20"/>
              </w:rPr>
            </w:pPr>
            <w:r>
              <w:rPr>
                <w:b/>
                <w:bCs/>
                <w:sz w:val="20"/>
                <w:szCs w:val="20"/>
              </w:rPr>
              <w:t> </w:t>
            </w:r>
          </w:p>
        </w:tc>
        <w:tc>
          <w:tcPr>
            <w:tcW w:w="1058" w:type="dxa"/>
            <w:tcBorders/>
            <w:shd w:color="000000" w:fill="FFFF99" w:val="clear"/>
            <w:vAlign w:val="bottom"/>
          </w:tcPr>
          <w:p>
            <w:pPr>
              <w:pStyle w:val="Normal"/>
              <w:rPr>
                <w:b/>
                <w:b/>
                <w:bCs/>
                <w:sz w:val="20"/>
                <w:szCs w:val="20"/>
              </w:rPr>
            </w:pPr>
            <w:r>
              <w:rPr>
                <w:b/>
                <w:bCs/>
                <w:sz w:val="20"/>
                <w:szCs w:val="20"/>
              </w:rPr>
              <w:t> </w:t>
            </w:r>
          </w:p>
        </w:tc>
        <w:tc>
          <w:tcPr>
            <w:tcW w:w="818" w:type="dxa"/>
            <w:tcBorders>
              <w:left w:val="single" w:sz="4" w:space="0" w:color="00000A"/>
              <w:right w:val="single" w:sz="4" w:space="0" w:color="00000A"/>
              <w:insideV w:val="single" w:sz="4" w:space="0" w:color="00000A"/>
            </w:tcBorders>
            <w:shd w:color="000000" w:fill="FFFF99" w:val="clear"/>
            <w:tcMar>
              <w:left w:w="65" w:type="dxa"/>
            </w:tcMar>
            <w:vAlign w:val="bottom"/>
          </w:tcPr>
          <w:p>
            <w:pPr>
              <w:pStyle w:val="Normal"/>
              <w:jc w:val="center"/>
              <w:rPr>
                <w:sz w:val="20"/>
                <w:szCs w:val="20"/>
              </w:rPr>
            </w:pPr>
            <w:r>
              <w:rPr>
                <w:sz w:val="20"/>
                <w:szCs w:val="20"/>
              </w:rPr>
              <w:t>4 556</w:t>
            </w:r>
          </w:p>
        </w:tc>
      </w:tr>
      <w:tr>
        <w:trPr>
          <w:trHeight w:val="300" w:hRule="atLeast"/>
        </w:trPr>
        <w:tc>
          <w:tcPr>
            <w:tcW w:w="1709" w:type="dxa"/>
            <w:tcBorders>
              <w:top w:val="single" w:sz="8" w:space="0" w:color="00000A"/>
              <w:left w:val="single" w:sz="8" w:space="0" w:color="00000A"/>
            </w:tcBorders>
            <w:shd w:fill="auto" w:val="clear"/>
            <w:tcMar>
              <w:left w:w="60" w:type="dxa"/>
            </w:tcMar>
            <w:vAlign w:val="bottom"/>
          </w:tcPr>
          <w:p>
            <w:pPr>
              <w:pStyle w:val="Normal"/>
              <w:rPr>
                <w:color w:val="000000"/>
                <w:sz w:val="20"/>
                <w:szCs w:val="20"/>
              </w:rPr>
            </w:pPr>
            <w:r>
              <w:rPr>
                <w:color w:val="000000"/>
                <w:sz w:val="20"/>
                <w:szCs w:val="20"/>
              </w:rPr>
              <w:t> </w:t>
            </w:r>
          </w:p>
        </w:tc>
        <w:tc>
          <w:tcPr>
            <w:tcW w:w="609"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690"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713"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607"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541"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1059"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834"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619"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963"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1058" w:type="dxa"/>
            <w:tcBorders>
              <w:top w:val="single" w:sz="8" w:space="0" w:color="00000A"/>
            </w:tcBorders>
            <w:shd w:fill="auto" w:val="clear"/>
            <w:vAlign w:val="bottom"/>
          </w:tcPr>
          <w:p>
            <w:pPr>
              <w:pStyle w:val="Normal"/>
              <w:rPr>
                <w:color w:val="000000"/>
                <w:sz w:val="20"/>
                <w:szCs w:val="20"/>
              </w:rPr>
            </w:pPr>
            <w:r>
              <w:rPr>
                <w:color w:val="000000"/>
                <w:sz w:val="20"/>
                <w:szCs w:val="20"/>
              </w:rPr>
              <w:t> </w:t>
            </w:r>
          </w:p>
        </w:tc>
        <w:tc>
          <w:tcPr>
            <w:tcW w:w="818"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0"/>
                <w:szCs w:val="20"/>
              </w:rPr>
            </w:pPr>
            <w:r>
              <w:rPr>
                <w:color w:val="000000"/>
                <w:sz w:val="20"/>
                <w:szCs w:val="20"/>
              </w:rPr>
              <w:t> </w:t>
            </w:r>
          </w:p>
        </w:tc>
      </w:tr>
      <w:tr>
        <w:trPr>
          <w:trHeight w:val="315" w:hRule="atLeast"/>
        </w:trPr>
        <w:tc>
          <w:tcPr>
            <w:tcW w:w="1709" w:type="dxa"/>
            <w:tcBorders>
              <w:top w:val="single" w:sz="8" w:space="0" w:color="00000A"/>
              <w:left w:val="single" w:sz="8" w:space="0" w:color="00000A"/>
              <w:bottom w:val="single" w:sz="8" w:space="0" w:color="00000A"/>
              <w:insideH w:val="single" w:sz="8" w:space="0" w:color="00000A"/>
            </w:tcBorders>
            <w:shd w:fill="auto" w:val="clear"/>
            <w:tcMar>
              <w:left w:w="60" w:type="dxa"/>
            </w:tcMar>
            <w:vAlign w:val="bottom"/>
          </w:tcPr>
          <w:p>
            <w:pPr>
              <w:pStyle w:val="Normal"/>
              <w:rPr>
                <w:b/>
                <w:b/>
                <w:bCs/>
                <w:color w:val="000000"/>
                <w:sz w:val="20"/>
                <w:szCs w:val="20"/>
              </w:rPr>
            </w:pPr>
            <w:r>
              <w:rPr>
                <w:b/>
                <w:bCs/>
                <w:color w:val="000000"/>
                <w:sz w:val="20"/>
                <w:szCs w:val="20"/>
              </w:rPr>
              <w:t>TOTAL 2</w:t>
            </w:r>
          </w:p>
        </w:tc>
        <w:tc>
          <w:tcPr>
            <w:tcW w:w="609"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690"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713"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607"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541"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1059"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834"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619"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963"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1058" w:type="dxa"/>
            <w:tcBorders>
              <w:top w:val="single" w:sz="8" w:space="0" w:color="00000A"/>
              <w:bottom w:val="single" w:sz="8" w:space="0" w:color="00000A"/>
              <w:insideH w:val="single" w:sz="8" w:space="0" w:color="00000A"/>
            </w:tcBorders>
            <w:shd w:fill="auto" w:val="clear"/>
            <w:vAlign w:val="bottom"/>
          </w:tcPr>
          <w:p>
            <w:pPr>
              <w:pStyle w:val="Normal"/>
              <w:rPr>
                <w:color w:val="000000"/>
                <w:sz w:val="20"/>
                <w:szCs w:val="20"/>
              </w:rPr>
            </w:pPr>
            <w:r>
              <w:rPr>
                <w:color w:val="000000"/>
                <w:sz w:val="20"/>
                <w:szCs w:val="20"/>
              </w:rPr>
              <w:t> </w:t>
            </w:r>
          </w:p>
        </w:tc>
        <w:tc>
          <w:tcPr>
            <w:tcW w:w="818"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b/>
                <w:b/>
                <w:bCs/>
                <w:color w:val="000000"/>
                <w:sz w:val="20"/>
                <w:szCs w:val="20"/>
              </w:rPr>
            </w:pPr>
            <w:r>
              <w:rPr>
                <w:b/>
                <w:bCs/>
                <w:color w:val="000000"/>
                <w:sz w:val="20"/>
                <w:szCs w:val="20"/>
              </w:rPr>
              <w:t>103 295</w:t>
            </w:r>
          </w:p>
        </w:tc>
      </w:tr>
    </w:tbl>
    <w:p>
      <w:pPr>
        <w:pStyle w:val="Normal"/>
        <w:ind w:right="0" w:hanging="0"/>
        <w:jc w:val="both"/>
        <w:rPr/>
      </w:pPr>
      <w:r>
        <w:rPr/>
        <w:t xml:space="preserve">      </w:t>
      </w:r>
    </w:p>
    <w:p>
      <w:pPr>
        <w:pStyle w:val="Normal"/>
        <w:ind w:right="0" w:hanging="0"/>
        <w:jc w:val="both"/>
        <w:rPr/>
      </w:pPr>
      <w:r>
        <w:rPr/>
      </w:r>
    </w:p>
    <w:p>
      <w:pPr>
        <w:pStyle w:val="Normal"/>
        <w:ind w:left="426" w:right="0" w:hanging="0"/>
        <w:jc w:val="both"/>
        <w:rPr/>
      </w:pPr>
      <w:r>
        <w:rPr/>
        <w:t>L’</w:t>
      </w:r>
      <w:r>
        <w:rPr>
          <w:b/>
          <w:i/>
        </w:rPr>
        <w:t>association espérance hauts de seine</w:t>
      </w:r>
      <w:r>
        <w:rPr/>
        <w:t xml:space="preserve"> sollicite pour la mise en place de la résidence-accueil un budget de 3 mois soit août, septembre, octobre pour une ouverture au 1</w:t>
      </w:r>
      <w:r>
        <w:rPr>
          <w:vertAlign w:val="superscript"/>
        </w:rPr>
        <w:t>er</w:t>
      </w:r>
      <w:r>
        <w:rPr/>
        <w:t xml:space="preserve"> novembre si les autorisations sont accordées courant octobre.</w:t>
      </w:r>
    </w:p>
    <w:p>
      <w:pPr>
        <w:pStyle w:val="Normal"/>
        <w:ind w:right="0" w:hanging="0"/>
        <w:jc w:val="both"/>
        <w:rPr/>
      </w:pPr>
      <w:r>
        <w:rPr/>
      </w:r>
    </w:p>
    <w:p>
      <w:pPr>
        <w:pStyle w:val="Normal"/>
        <w:ind w:right="0" w:hanging="0"/>
        <w:jc w:val="both"/>
        <w:rPr/>
      </w:pPr>
      <w:r>
        <w:rPr/>
      </w:r>
    </w:p>
    <w:p>
      <w:pPr>
        <w:pStyle w:val="Normal"/>
        <w:ind w:left="0" w:right="0" w:hanging="0"/>
        <w:jc w:val="both"/>
        <w:rPr/>
      </w:pPr>
      <w:r>
        <w:rPr/>
      </w:r>
    </w:p>
    <w:p>
      <w:pPr>
        <w:pStyle w:val="ListParagraph"/>
        <w:keepNext w:val="true"/>
        <w:numPr>
          <w:ilvl w:val="6"/>
          <w:numId w:val="2"/>
        </w:numPr>
        <w:ind w:left="567" w:right="0" w:hanging="360"/>
        <w:jc w:val="both"/>
        <w:outlineLvl w:val="0"/>
        <w:rPr>
          <w:b/>
          <w:b/>
          <w:bCs/>
        </w:rPr>
      </w:pPr>
      <w:r>
        <w:rPr>
          <w:b/>
          <w:bCs/>
        </w:rPr>
        <w:t>LES RECETTES</w:t>
      </w:r>
    </w:p>
    <w:p>
      <w:pPr>
        <w:pStyle w:val="Normal"/>
        <w:keepNext w:val="true"/>
        <w:numPr>
          <w:ilvl w:val="0"/>
          <w:numId w:val="0"/>
        </w:numPr>
        <w:ind w:left="0" w:right="0" w:hanging="0"/>
        <w:jc w:val="both"/>
        <w:outlineLvl w:val="0"/>
        <w:rPr>
          <w:b/>
          <w:b/>
          <w:bCs/>
        </w:rPr>
      </w:pPr>
      <w:r>
        <w:rPr>
          <w:b/>
          <w:bCs/>
        </w:rPr>
      </w:r>
    </w:p>
    <w:p>
      <w:pPr>
        <w:pStyle w:val="Normal"/>
        <w:ind w:left="360" w:right="0" w:hanging="0"/>
        <w:jc w:val="both"/>
        <w:rPr/>
      </w:pPr>
      <w:r>
        <w:rPr/>
        <w:t>Les recettes proviennent :</w:t>
      </w:r>
    </w:p>
    <w:p>
      <w:pPr>
        <w:pStyle w:val="Normal"/>
        <w:ind w:left="360" w:right="0" w:hanging="0"/>
        <w:jc w:val="both"/>
        <w:rPr/>
      </w:pPr>
      <w:r>
        <w:rPr/>
      </w:r>
    </w:p>
    <w:p>
      <w:pPr>
        <w:pStyle w:val="Normal"/>
        <w:numPr>
          <w:ilvl w:val="0"/>
          <w:numId w:val="5"/>
        </w:numPr>
        <w:spacing w:before="0" w:after="0"/>
        <w:ind w:left="720" w:right="0" w:hanging="360"/>
        <w:contextualSpacing/>
        <w:jc w:val="both"/>
        <w:rPr/>
      </w:pPr>
      <w:r>
        <w:rPr/>
        <w:t xml:space="preserve">De la redevance versée par les locataires dans le cadre de la convention APL et dont le montant est fixé chaque année par l’ETAT. Elle est calculée en fonction du type de logement T1, T1 bis, T2…, de la zone, soit 1 bis pour Suresnes et du type de financement, soit dans le cas de la résidence-accueil de Suresnes, un PLA d’intégration (voir notice en annexe). </w:t>
      </w:r>
    </w:p>
    <w:p>
      <w:pPr>
        <w:pStyle w:val="Normal"/>
        <w:numPr>
          <w:ilvl w:val="0"/>
          <w:numId w:val="5"/>
        </w:numPr>
        <w:spacing w:before="0" w:after="0"/>
        <w:ind w:left="720" w:right="0" w:hanging="360"/>
        <w:contextualSpacing/>
        <w:jc w:val="both"/>
        <w:rPr/>
      </w:pPr>
      <w:r>
        <w:rPr/>
        <w:t>Cette redevance comprend un loyer proprement dit et les charges récupérables.</w:t>
      </w:r>
    </w:p>
    <w:p>
      <w:pPr>
        <w:pStyle w:val="Normal"/>
        <w:ind w:left="708" w:hanging="0"/>
        <w:rPr/>
      </w:pPr>
      <w:r>
        <w:rPr/>
        <w:t xml:space="preserve">L’association se réserve la faculté de facturer une contribution à l’amortissement du mobilier dans la limite du plafond de 24 euros par mois défini par l’arrêté du 7 décembre 2009 fixant le prix de location des meubles prévu à l’article L442-8-3-1 du CCH en cas de location ou de sous-location meublée. </w:t>
      </w:r>
    </w:p>
    <w:p>
      <w:pPr>
        <w:pStyle w:val="Normal"/>
        <w:spacing w:before="0" w:after="0"/>
        <w:ind w:left="720" w:right="0" w:hanging="0"/>
        <w:contextualSpacing/>
        <w:jc w:val="both"/>
        <w:rPr/>
      </w:pPr>
      <w:r>
        <w:rPr/>
      </w:r>
    </w:p>
    <w:p>
      <w:pPr>
        <w:pStyle w:val="Normal"/>
        <w:numPr>
          <w:ilvl w:val="0"/>
          <w:numId w:val="5"/>
        </w:numPr>
        <w:spacing w:before="0" w:after="0"/>
        <w:ind w:left="720" w:right="0" w:hanging="360"/>
        <w:contextualSpacing/>
        <w:jc w:val="both"/>
        <w:rPr/>
      </w:pPr>
      <w:r>
        <w:rPr/>
        <w:t xml:space="preserve">Du forfait journalier par personne versé par la DRIHL et fixé à 16 euros/jour/personne. </w:t>
      </w:r>
    </w:p>
    <w:p>
      <w:pPr>
        <w:pStyle w:val="Normal"/>
        <w:spacing w:before="0" w:after="0"/>
        <w:ind w:left="720" w:right="0" w:hanging="0"/>
        <w:contextualSpacing/>
        <w:jc w:val="both"/>
        <w:rPr/>
      </w:pPr>
      <w:r>
        <w:rPr/>
      </w:r>
    </w:p>
    <w:p>
      <w:pPr>
        <w:pStyle w:val="Normal"/>
        <w:ind w:right="0" w:hanging="0"/>
        <w:jc w:val="both"/>
        <w:rPr/>
      </w:pPr>
      <w:r>
        <w:rPr/>
      </w:r>
    </w:p>
    <w:p>
      <w:pPr>
        <w:pStyle w:val="Normal"/>
        <w:ind w:left="0" w:right="0" w:hanging="0"/>
        <w:jc w:val="center"/>
        <w:rPr>
          <w:b/>
          <w:b/>
        </w:rPr>
      </w:pPr>
      <w:r>
        <w:rPr>
          <w:b/>
        </w:rPr>
      </w:r>
    </w:p>
    <w:p>
      <w:pPr>
        <w:pStyle w:val="Normal"/>
        <w:ind w:left="0" w:right="0" w:hanging="0"/>
        <w:jc w:val="center"/>
        <w:rPr>
          <w:b/>
          <w:b/>
        </w:rPr>
      </w:pPr>
      <w:r>
        <w:rPr>
          <w:b/>
        </w:rPr>
      </w:r>
    </w:p>
    <w:p>
      <w:pPr>
        <w:pStyle w:val="Normal"/>
        <w:ind w:left="0" w:right="0" w:hanging="0"/>
        <w:jc w:val="center"/>
        <w:rPr>
          <w:b/>
          <w:b/>
        </w:rPr>
      </w:pPr>
      <w:r>
        <w:rPr>
          <w:b/>
        </w:rPr>
      </w:r>
    </w:p>
    <w:p>
      <w:pPr>
        <w:pStyle w:val="Normal"/>
        <w:ind w:left="0" w:right="0" w:hanging="0"/>
        <w:jc w:val="center"/>
        <w:rPr>
          <w:b/>
          <w:b/>
        </w:rPr>
      </w:pPr>
      <w:r>
        <w:rPr>
          <w:b/>
        </w:rPr>
      </w:r>
    </w:p>
    <w:p>
      <w:pPr>
        <w:pStyle w:val="Normal"/>
        <w:ind w:left="0" w:right="0" w:hanging="0"/>
        <w:jc w:val="center"/>
        <w:rPr>
          <w:b/>
          <w:b/>
        </w:rPr>
      </w:pPr>
      <w:r>
        <w:rPr>
          <w:b/>
        </w:rPr>
        <w:t>Calcul de la redevance exigible par les 22 résidents :</w:t>
      </w:r>
    </w:p>
    <w:p>
      <w:pPr>
        <w:pStyle w:val="Normal"/>
        <w:ind w:left="0" w:right="0" w:hanging="0"/>
        <w:jc w:val="both"/>
        <w:rPr/>
      </w:pPr>
      <w:r>
        <w:rPr/>
      </w:r>
    </w:p>
    <w:p>
      <w:pPr>
        <w:pStyle w:val="Normal"/>
        <w:ind w:left="0" w:right="0" w:hanging="0"/>
        <w:jc w:val="both"/>
        <w:rPr/>
      </w:pPr>
      <w:r>
        <w:rPr/>
      </w:r>
    </w:p>
    <w:tbl>
      <w:tblPr>
        <w:tblpPr w:bottomFromText="0" w:horzAnchor="margin" w:leftFromText="141" w:rightFromText="141" w:tblpX="0" w:tblpXSpec="center" w:tblpY="0" w:topFromText="0" w:vertAnchor="text"/>
        <w:tblW w:w="10836" w:type="dxa"/>
        <w:jc w:val="center"/>
        <w:tblInd w:w="0"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top w:w="0" w:type="dxa"/>
          <w:left w:w="60" w:type="dxa"/>
          <w:bottom w:w="0" w:type="dxa"/>
          <w:right w:w="70" w:type="dxa"/>
        </w:tblCellMar>
        <w:tblLook w:firstRow="1" w:noVBand="1" w:lastRow="0" w:firstColumn="1" w:lastColumn="0" w:noHBand="0" w:val="04a0"/>
      </w:tblPr>
      <w:tblGrid>
        <w:gridCol w:w="1899"/>
        <w:gridCol w:w="2259"/>
        <w:gridCol w:w="2140"/>
        <w:gridCol w:w="2060"/>
        <w:gridCol w:w="1222"/>
        <w:gridCol w:w="1255"/>
      </w:tblGrid>
      <w:tr>
        <w:trPr>
          <w:trHeight w:val="330" w:hRule="atLeast"/>
        </w:trPr>
        <w:tc>
          <w:tcPr>
            <w:tcW w:w="189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Type de logement</w:t>
            </w:r>
          </w:p>
        </w:tc>
        <w:tc>
          <w:tcPr>
            <w:tcW w:w="22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Nombre de logements</w:t>
            </w:r>
          </w:p>
        </w:tc>
        <w:tc>
          <w:tcPr>
            <w:tcW w:w="214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redevance maximale</w:t>
            </w:r>
          </w:p>
        </w:tc>
        <w:tc>
          <w:tcPr>
            <w:tcW w:w="20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Total par logements/mois</w:t>
            </w:r>
          </w:p>
        </w:tc>
        <w:tc>
          <w:tcPr>
            <w:tcW w:w="122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calcul/an</w:t>
            </w:r>
          </w:p>
        </w:tc>
        <w:tc>
          <w:tcPr>
            <w:tcW w:w="12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rPr>
            </w:pPr>
            <w:r>
              <w:rPr>
                <w:b/>
                <w:bCs/>
                <w:color w:val="000000"/>
              </w:rPr>
              <w:t>Total</w:t>
            </w:r>
          </w:p>
        </w:tc>
      </w:tr>
      <w:tr>
        <w:trPr>
          <w:trHeight w:val="330" w:hRule="atLeast"/>
        </w:trPr>
        <w:tc>
          <w:tcPr>
            <w:tcW w:w="189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F1</w:t>
            </w:r>
          </w:p>
        </w:tc>
        <w:tc>
          <w:tcPr>
            <w:tcW w:w="22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4</w:t>
            </w:r>
          </w:p>
        </w:tc>
        <w:tc>
          <w:tcPr>
            <w:tcW w:w="214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397,29</w:t>
            </w:r>
          </w:p>
        </w:tc>
        <w:tc>
          <w:tcPr>
            <w:tcW w:w="20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 xml:space="preserve">                     </w:t>
            </w:r>
            <w:r>
              <w:rPr>
                <w:color w:val="000000"/>
                <w:sz w:val="22"/>
                <w:szCs w:val="22"/>
              </w:rPr>
              <w:t>1589</w:t>
            </w:r>
          </w:p>
        </w:tc>
        <w:tc>
          <w:tcPr>
            <w:tcW w:w="122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12</w:t>
            </w:r>
          </w:p>
        </w:tc>
        <w:tc>
          <w:tcPr>
            <w:tcW w:w="12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xml:space="preserve">         </w:t>
            </w:r>
            <w:r>
              <w:rPr>
                <w:color w:val="000000"/>
                <w:sz w:val="22"/>
                <w:szCs w:val="22"/>
              </w:rPr>
              <w:t xml:space="preserve">19 070   </w:t>
            </w:r>
          </w:p>
        </w:tc>
      </w:tr>
      <w:tr>
        <w:trPr>
          <w:trHeight w:val="330" w:hRule="atLeast"/>
        </w:trPr>
        <w:tc>
          <w:tcPr>
            <w:tcW w:w="189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F1 bis</w:t>
            </w:r>
          </w:p>
        </w:tc>
        <w:tc>
          <w:tcPr>
            <w:tcW w:w="22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9</w:t>
            </w:r>
          </w:p>
        </w:tc>
        <w:tc>
          <w:tcPr>
            <w:tcW w:w="214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576,15</w:t>
            </w:r>
          </w:p>
        </w:tc>
        <w:tc>
          <w:tcPr>
            <w:tcW w:w="20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 xml:space="preserve">                     </w:t>
            </w:r>
            <w:r>
              <w:rPr>
                <w:color w:val="000000"/>
                <w:sz w:val="22"/>
                <w:szCs w:val="22"/>
              </w:rPr>
              <w:t xml:space="preserve">5 185   </w:t>
            </w:r>
          </w:p>
        </w:tc>
        <w:tc>
          <w:tcPr>
            <w:tcW w:w="122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12</w:t>
            </w:r>
          </w:p>
        </w:tc>
        <w:tc>
          <w:tcPr>
            <w:tcW w:w="12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xml:space="preserve">         </w:t>
            </w:r>
            <w:r>
              <w:rPr>
                <w:color w:val="000000"/>
                <w:sz w:val="22"/>
                <w:szCs w:val="22"/>
              </w:rPr>
              <w:t xml:space="preserve">62 224   </w:t>
            </w:r>
          </w:p>
        </w:tc>
      </w:tr>
      <w:tr>
        <w:trPr>
          <w:trHeight w:val="330" w:hRule="atLeast"/>
        </w:trPr>
        <w:tc>
          <w:tcPr>
            <w:tcW w:w="189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F2</w:t>
            </w:r>
          </w:p>
        </w:tc>
        <w:tc>
          <w:tcPr>
            <w:tcW w:w="22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7</w:t>
            </w:r>
          </w:p>
        </w:tc>
        <w:tc>
          <w:tcPr>
            <w:tcW w:w="214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599,04</w:t>
            </w:r>
          </w:p>
        </w:tc>
        <w:tc>
          <w:tcPr>
            <w:tcW w:w="20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 xml:space="preserve">4193   </w:t>
            </w:r>
          </w:p>
        </w:tc>
        <w:tc>
          <w:tcPr>
            <w:tcW w:w="122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12</w:t>
            </w:r>
          </w:p>
        </w:tc>
        <w:tc>
          <w:tcPr>
            <w:tcW w:w="12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xml:space="preserve">         </w:t>
            </w:r>
            <w:r>
              <w:rPr>
                <w:color w:val="000000"/>
                <w:sz w:val="22"/>
                <w:szCs w:val="22"/>
              </w:rPr>
              <w:t xml:space="preserve">50 319   </w:t>
            </w:r>
          </w:p>
        </w:tc>
      </w:tr>
      <w:tr>
        <w:trPr>
          <w:trHeight w:val="390" w:hRule="atLeast"/>
        </w:trPr>
        <w:tc>
          <w:tcPr>
            <w:tcW w:w="189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t>Total</w:t>
            </w:r>
          </w:p>
        </w:tc>
        <w:tc>
          <w:tcPr>
            <w:tcW w:w="2259"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b/>
                <w:b/>
                <w:bCs/>
                <w:color w:val="000000"/>
                <w:sz w:val="22"/>
                <w:szCs w:val="22"/>
              </w:rPr>
            </w:pPr>
            <w:r>
              <w:rPr>
                <w:b/>
                <w:bCs/>
                <w:color w:val="000000"/>
                <w:sz w:val="22"/>
                <w:szCs w:val="22"/>
              </w:rPr>
              <w:t>20</w:t>
            </w:r>
          </w:p>
        </w:tc>
        <w:tc>
          <w:tcPr>
            <w:tcW w:w="214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t> </w:t>
            </w:r>
          </w:p>
        </w:tc>
        <w:tc>
          <w:tcPr>
            <w:tcW w:w="20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b/>
                <w:b/>
                <w:bCs/>
                <w:color w:val="000000"/>
                <w:sz w:val="22"/>
                <w:szCs w:val="22"/>
              </w:rPr>
            </w:pPr>
            <w:r>
              <w:rPr>
                <w:b/>
                <w:bCs/>
                <w:color w:val="000000"/>
                <w:sz w:val="22"/>
                <w:szCs w:val="22"/>
              </w:rPr>
              <w:t>10 968</w:t>
            </w:r>
          </w:p>
        </w:tc>
        <w:tc>
          <w:tcPr>
            <w:tcW w:w="1222"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b/>
                <w:b/>
                <w:bCs/>
                <w:color w:val="000000"/>
                <w:sz w:val="22"/>
                <w:szCs w:val="22"/>
              </w:rPr>
            </w:pPr>
            <w:r>
              <w:rPr>
                <w:b/>
                <w:bCs/>
                <w:color w:val="000000"/>
                <w:sz w:val="22"/>
                <w:szCs w:val="22"/>
              </w:rPr>
              <w:t>12</w:t>
            </w:r>
          </w:p>
        </w:tc>
        <w:tc>
          <w:tcPr>
            <w:tcW w:w="12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jc w:val="right"/>
              <w:rPr>
                <w:b/>
                <w:b/>
                <w:bCs/>
                <w:color w:val="000000"/>
                <w:sz w:val="22"/>
                <w:szCs w:val="22"/>
              </w:rPr>
            </w:pPr>
            <w:r>
              <w:rPr>
                <w:b/>
                <w:bCs/>
                <w:color w:val="000000"/>
                <w:sz w:val="22"/>
                <w:szCs w:val="22"/>
              </w:rPr>
              <w:t xml:space="preserve">  </w:t>
            </w:r>
            <w:r>
              <w:rPr>
                <w:b/>
                <w:bCs/>
                <w:color w:val="000000"/>
                <w:sz w:val="22"/>
                <w:szCs w:val="22"/>
              </w:rPr>
              <w:t xml:space="preserve">131 613   </w:t>
            </w:r>
          </w:p>
        </w:tc>
      </w:tr>
    </w:tbl>
    <w:p>
      <w:pPr>
        <w:pStyle w:val="Normal"/>
        <w:ind w:left="0" w:right="0" w:hanging="0"/>
        <w:jc w:val="both"/>
        <w:rPr/>
      </w:pPr>
      <w:r>
        <w:rPr/>
        <w:t xml:space="preserve">               </w:t>
      </w:r>
    </w:p>
    <w:p>
      <w:pPr>
        <w:pStyle w:val="Normal"/>
        <w:ind w:left="1374"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center"/>
        <w:rPr>
          <w:b/>
          <w:b/>
        </w:rPr>
      </w:pPr>
      <w:r>
        <w:rPr>
          <w:b/>
        </w:rPr>
        <w:t>Décompte du forfait journalier :</w:t>
      </w:r>
    </w:p>
    <w:p>
      <w:pPr>
        <w:pStyle w:val="Normal"/>
        <w:ind w:left="294" w:right="0" w:hanging="0"/>
        <w:jc w:val="both"/>
        <w:rPr/>
      </w:pPr>
      <w:r>
        <w:rPr/>
      </w:r>
    </w:p>
    <w:p>
      <w:pPr>
        <w:pStyle w:val="Normal"/>
        <w:ind w:left="294" w:right="0" w:hanging="0"/>
        <w:jc w:val="both"/>
        <w:rPr/>
      </w:pPr>
      <w:r>
        <w:rPr/>
      </w:r>
    </w:p>
    <w:tbl>
      <w:tblPr>
        <w:tblW w:w="7494" w:type="dxa"/>
        <w:jc w:val="left"/>
        <w:tblInd w:w="1076" w:type="dxa"/>
        <w:tblBorders>
          <w:top w:val="single" w:sz="8" w:space="0" w:color="00000A"/>
          <w:left w:val="single" w:sz="8" w:space="0" w:color="00000A"/>
        </w:tblBorders>
        <w:tblCellMar>
          <w:top w:w="0" w:type="dxa"/>
          <w:left w:w="60" w:type="dxa"/>
          <w:bottom w:w="0" w:type="dxa"/>
          <w:right w:w="70" w:type="dxa"/>
        </w:tblCellMar>
        <w:tblLook w:firstRow="1" w:noVBand="1" w:lastRow="0" w:firstColumn="1" w:lastColumn="0" w:noHBand="0" w:val="04a0"/>
      </w:tblPr>
      <w:tblGrid>
        <w:gridCol w:w="2073"/>
        <w:gridCol w:w="1660"/>
        <w:gridCol w:w="2140"/>
        <w:gridCol w:w="1620"/>
      </w:tblGrid>
      <w:tr>
        <w:trPr>
          <w:trHeight w:val="300" w:hRule="atLeast"/>
        </w:trPr>
        <w:tc>
          <w:tcPr>
            <w:tcW w:w="2073" w:type="dxa"/>
            <w:tcBorders>
              <w:top w:val="single" w:sz="8" w:space="0" w:color="00000A"/>
              <w:left w:val="single" w:sz="8" w:space="0" w:color="00000A"/>
            </w:tcBorders>
            <w:shd w:fill="auto" w:val="clear"/>
            <w:vAlign w:val="bottom"/>
          </w:tcPr>
          <w:p>
            <w:pPr>
              <w:pStyle w:val="Normal"/>
              <w:rPr>
                <w:color w:val="000000"/>
                <w:sz w:val="22"/>
                <w:szCs w:val="22"/>
              </w:rPr>
            </w:pPr>
            <w:r>
              <w:rPr>
                <w:color w:val="000000"/>
                <w:sz w:val="22"/>
                <w:szCs w:val="22"/>
              </w:rPr>
              <w:t> </w:t>
            </w:r>
          </w:p>
        </w:tc>
        <w:tc>
          <w:tcPr>
            <w:tcW w:w="1660" w:type="dxa"/>
            <w:tcBorders>
              <w:top w:val="single" w:sz="8" w:space="0" w:color="00000A"/>
            </w:tcBorders>
            <w:shd w:fill="auto" w:val="clear"/>
            <w:vAlign w:val="bottom"/>
          </w:tcPr>
          <w:p>
            <w:pPr>
              <w:pStyle w:val="Normal"/>
              <w:rPr>
                <w:color w:val="000000"/>
                <w:sz w:val="22"/>
                <w:szCs w:val="22"/>
              </w:rPr>
            </w:pPr>
            <w:r>
              <w:rPr>
                <w:color w:val="000000"/>
                <w:sz w:val="22"/>
                <w:szCs w:val="22"/>
              </w:rPr>
              <w:t> </w:t>
            </w:r>
          </w:p>
        </w:tc>
        <w:tc>
          <w:tcPr>
            <w:tcW w:w="2140" w:type="dxa"/>
            <w:tcBorders>
              <w:top w:val="single" w:sz="8" w:space="0" w:color="00000A"/>
            </w:tcBorders>
            <w:shd w:fill="auto" w:val="clear"/>
            <w:vAlign w:val="bottom"/>
          </w:tcPr>
          <w:p>
            <w:pPr>
              <w:pStyle w:val="Normal"/>
              <w:rPr>
                <w:color w:val="000000"/>
                <w:sz w:val="22"/>
                <w:szCs w:val="22"/>
              </w:rPr>
            </w:pPr>
            <w:r>
              <w:rPr>
                <w:color w:val="000000"/>
                <w:sz w:val="22"/>
                <w:szCs w:val="22"/>
              </w:rPr>
              <w:t> </w:t>
            </w:r>
          </w:p>
        </w:tc>
        <w:tc>
          <w:tcPr>
            <w:tcW w:w="1620"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w:t>
            </w:r>
          </w:p>
        </w:tc>
      </w:tr>
      <w:tr>
        <w:trPr>
          <w:trHeight w:val="300" w:hRule="atLeast"/>
        </w:trPr>
        <w:tc>
          <w:tcPr>
            <w:tcW w:w="7493" w:type="dxa"/>
            <w:gridSpan w:val="4"/>
            <w:tcBorders>
              <w:left w:val="single" w:sz="8" w:space="0" w:color="00000A"/>
              <w:right w:val="single" w:sz="8" w:space="0" w:color="000001"/>
              <w:insideV w:val="single" w:sz="8" w:space="0" w:color="000001"/>
            </w:tcBorders>
            <w:shd w:fill="auto" w:val="clear"/>
            <w:vAlign w:val="bottom"/>
          </w:tcPr>
          <w:p>
            <w:pPr>
              <w:pStyle w:val="Normal"/>
              <w:rPr>
                <w:b/>
                <w:b/>
                <w:bCs/>
                <w:color w:val="000000"/>
                <w:sz w:val="22"/>
                <w:szCs w:val="22"/>
              </w:rPr>
            </w:pPr>
            <w:r>
              <w:rPr>
                <w:b/>
                <w:bCs/>
                <w:color w:val="000000"/>
                <w:sz w:val="22"/>
                <w:szCs w:val="22"/>
              </w:rPr>
              <w:t>PRODUITS DU FORFAIT JOURNALIER ATTRIBUE PAR LA DRIHL</w:t>
            </w:r>
          </w:p>
        </w:tc>
      </w:tr>
      <w:tr>
        <w:trPr>
          <w:trHeight w:val="315" w:hRule="atLeast"/>
        </w:trPr>
        <w:tc>
          <w:tcPr>
            <w:tcW w:w="2073" w:type="dxa"/>
            <w:tcBorders>
              <w:left w:val="single" w:sz="8" w:space="0" w:color="00000A"/>
            </w:tcBorders>
            <w:shd w:fill="auto" w:val="clear"/>
            <w:vAlign w:val="bottom"/>
          </w:tcPr>
          <w:p>
            <w:pPr>
              <w:pStyle w:val="Normal"/>
              <w:rPr>
                <w:color w:val="000000"/>
                <w:sz w:val="22"/>
                <w:szCs w:val="22"/>
              </w:rPr>
            </w:pPr>
            <w:r>
              <w:rPr>
                <w:color w:val="000000"/>
                <w:sz w:val="22"/>
                <w:szCs w:val="22"/>
              </w:rPr>
              <w:t> </w:t>
            </w:r>
          </w:p>
        </w:tc>
        <w:tc>
          <w:tcPr>
            <w:tcW w:w="1660" w:type="dxa"/>
            <w:tcBorders/>
            <w:shd w:fill="auto" w:val="clear"/>
            <w:vAlign w:val="bottom"/>
          </w:tcPr>
          <w:p>
            <w:pPr>
              <w:pStyle w:val="Normal"/>
              <w:rPr>
                <w:color w:val="000000"/>
                <w:sz w:val="22"/>
                <w:szCs w:val="22"/>
              </w:rPr>
            </w:pPr>
            <w:r>
              <w:rPr>
                <w:color w:val="000000"/>
                <w:sz w:val="22"/>
                <w:szCs w:val="22"/>
              </w:rPr>
            </w:r>
          </w:p>
        </w:tc>
        <w:tc>
          <w:tcPr>
            <w:tcW w:w="2140" w:type="dxa"/>
            <w:tcBorders/>
            <w:shd w:fill="auto" w:val="clear"/>
            <w:vAlign w:val="bottom"/>
          </w:tcPr>
          <w:p>
            <w:pPr>
              <w:pStyle w:val="Normal"/>
              <w:rPr>
                <w:color w:val="000000"/>
                <w:sz w:val="22"/>
                <w:szCs w:val="22"/>
              </w:rPr>
            </w:pPr>
            <w:r>
              <w:rPr>
                <w:color w:val="000000"/>
                <w:sz w:val="22"/>
                <w:szCs w:val="22"/>
              </w:rPr>
            </w:r>
          </w:p>
        </w:tc>
        <w:tc>
          <w:tcPr>
            <w:tcW w:w="1620" w:type="dxa"/>
            <w:tcBorders>
              <w:left w:val="single" w:sz="8" w:space="0" w:color="00000A"/>
              <w:right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w:t>
            </w:r>
          </w:p>
        </w:tc>
      </w:tr>
      <w:tr>
        <w:trPr>
          <w:trHeight w:val="300" w:hRule="atLeast"/>
        </w:trPr>
        <w:tc>
          <w:tcPr>
            <w:tcW w:w="2073" w:type="dxa"/>
            <w:tcBorders>
              <w:top w:val="single" w:sz="8" w:space="0" w:color="00000A"/>
              <w:left w:val="single" w:sz="8" w:space="0" w:color="00000A"/>
            </w:tcBorders>
            <w:shd w:fill="auto" w:val="clear"/>
            <w:vAlign w:val="bottom"/>
          </w:tcPr>
          <w:p>
            <w:pPr>
              <w:pStyle w:val="Normal"/>
              <w:jc w:val="center"/>
              <w:rPr>
                <w:color w:val="000000"/>
                <w:sz w:val="22"/>
                <w:szCs w:val="22"/>
              </w:rPr>
            </w:pPr>
            <w:r>
              <w:rPr>
                <w:color w:val="000000"/>
                <w:sz w:val="22"/>
                <w:szCs w:val="22"/>
              </w:rPr>
              <w:t>Nombre de places</w:t>
            </w:r>
          </w:p>
        </w:tc>
        <w:tc>
          <w:tcPr>
            <w:tcW w:w="1660"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jc w:val="center"/>
              <w:rPr>
                <w:color w:val="000000"/>
                <w:sz w:val="22"/>
                <w:szCs w:val="22"/>
              </w:rPr>
            </w:pPr>
            <w:r>
              <w:rPr>
                <w:color w:val="000000"/>
                <w:sz w:val="22"/>
                <w:szCs w:val="22"/>
              </w:rPr>
              <w:t>Forfait €/jours</w:t>
            </w:r>
          </w:p>
        </w:tc>
        <w:tc>
          <w:tcPr>
            <w:tcW w:w="2140" w:type="dxa"/>
            <w:tcBorders>
              <w:top w:val="single" w:sz="8" w:space="0" w:color="00000A"/>
            </w:tcBorders>
            <w:shd w:fill="auto" w:val="clear"/>
            <w:vAlign w:val="bottom"/>
          </w:tcPr>
          <w:p>
            <w:pPr>
              <w:pStyle w:val="Normal"/>
              <w:jc w:val="center"/>
              <w:rPr>
                <w:color w:val="000000"/>
                <w:sz w:val="22"/>
                <w:szCs w:val="22"/>
              </w:rPr>
            </w:pPr>
            <w:r>
              <w:rPr>
                <w:color w:val="000000"/>
                <w:sz w:val="22"/>
                <w:szCs w:val="22"/>
              </w:rPr>
              <w:t>Nombre de jours</w:t>
            </w:r>
          </w:p>
        </w:tc>
        <w:tc>
          <w:tcPr>
            <w:tcW w:w="1620" w:type="dxa"/>
            <w:tcBorders>
              <w:top w:val="single" w:sz="8" w:space="0" w:color="00000A"/>
              <w:left w:val="single" w:sz="8" w:space="0" w:color="00000A"/>
              <w:right w:val="single" w:sz="8" w:space="0" w:color="00000A"/>
              <w:insideV w:val="single" w:sz="8" w:space="0" w:color="00000A"/>
            </w:tcBorders>
            <w:shd w:fill="auto" w:val="clear"/>
            <w:vAlign w:val="bottom"/>
          </w:tcPr>
          <w:p>
            <w:pPr>
              <w:pStyle w:val="Normal"/>
              <w:jc w:val="center"/>
              <w:rPr>
                <w:b/>
                <w:b/>
                <w:bCs/>
                <w:color w:val="000000"/>
                <w:sz w:val="22"/>
                <w:szCs w:val="22"/>
              </w:rPr>
            </w:pPr>
            <w:r>
              <w:rPr>
                <w:b/>
                <w:bCs/>
                <w:color w:val="000000"/>
                <w:sz w:val="22"/>
                <w:szCs w:val="22"/>
              </w:rPr>
              <w:t>Total</w:t>
            </w:r>
          </w:p>
        </w:tc>
      </w:tr>
      <w:tr>
        <w:trPr>
          <w:trHeight w:val="300" w:hRule="atLeast"/>
        </w:trPr>
        <w:tc>
          <w:tcPr>
            <w:tcW w:w="2073" w:type="dxa"/>
            <w:tcBorders>
              <w:left w:val="single" w:sz="8" w:space="0" w:color="00000A"/>
            </w:tcBorders>
            <w:shd w:fill="auto" w:val="clear"/>
            <w:vAlign w:val="bottom"/>
          </w:tcPr>
          <w:p>
            <w:pPr>
              <w:pStyle w:val="Normal"/>
              <w:rPr>
                <w:color w:val="000000"/>
                <w:sz w:val="22"/>
                <w:szCs w:val="22"/>
              </w:rPr>
            </w:pPr>
            <w:r>
              <w:rPr>
                <w:color w:val="000000"/>
                <w:sz w:val="22"/>
                <w:szCs w:val="22"/>
              </w:rPr>
              <w:t> </w:t>
            </w:r>
          </w:p>
        </w:tc>
        <w:tc>
          <w:tcPr>
            <w:tcW w:w="1660" w:type="dxa"/>
            <w:tcBorders>
              <w:left w:val="single" w:sz="8" w:space="0" w:color="00000A"/>
              <w:right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w:t>
            </w:r>
          </w:p>
        </w:tc>
        <w:tc>
          <w:tcPr>
            <w:tcW w:w="2140" w:type="dxa"/>
            <w:tcBorders/>
            <w:shd w:fill="auto" w:val="clear"/>
            <w:vAlign w:val="bottom"/>
          </w:tcPr>
          <w:p>
            <w:pPr>
              <w:pStyle w:val="Normal"/>
              <w:rPr>
                <w:color w:val="000000"/>
                <w:sz w:val="22"/>
                <w:szCs w:val="22"/>
              </w:rPr>
            </w:pPr>
            <w:r>
              <w:rPr>
                <w:color w:val="000000"/>
                <w:sz w:val="22"/>
                <w:szCs w:val="22"/>
              </w:rPr>
            </w:r>
          </w:p>
        </w:tc>
        <w:tc>
          <w:tcPr>
            <w:tcW w:w="1620" w:type="dxa"/>
            <w:tcBorders>
              <w:left w:val="single" w:sz="8" w:space="0" w:color="00000A"/>
              <w:right w:val="single" w:sz="8" w:space="0" w:color="00000A"/>
              <w:insideV w:val="single" w:sz="8" w:space="0" w:color="00000A"/>
            </w:tcBorders>
            <w:shd w:fill="auto" w:val="clear"/>
            <w:vAlign w:val="bottom"/>
          </w:tcPr>
          <w:p>
            <w:pPr>
              <w:pStyle w:val="Normal"/>
              <w:rPr>
                <w:b/>
                <w:b/>
                <w:bCs/>
                <w:color w:val="000000"/>
                <w:sz w:val="22"/>
                <w:szCs w:val="22"/>
              </w:rPr>
            </w:pPr>
            <w:r>
              <w:rPr>
                <w:b/>
                <w:bCs/>
                <w:color w:val="000000"/>
                <w:sz w:val="22"/>
                <w:szCs w:val="22"/>
              </w:rPr>
              <w:t> </w:t>
            </w:r>
          </w:p>
        </w:tc>
      </w:tr>
      <w:tr>
        <w:trPr>
          <w:trHeight w:val="300" w:hRule="atLeast"/>
        </w:trPr>
        <w:tc>
          <w:tcPr>
            <w:tcW w:w="2073" w:type="dxa"/>
            <w:tcBorders>
              <w:left w:val="single" w:sz="8" w:space="0" w:color="00000A"/>
            </w:tcBorders>
            <w:shd w:fill="auto" w:val="clear"/>
            <w:vAlign w:val="bottom"/>
          </w:tcPr>
          <w:p>
            <w:pPr>
              <w:pStyle w:val="Normal"/>
              <w:jc w:val="right"/>
              <w:rPr>
                <w:color w:val="000000"/>
                <w:sz w:val="22"/>
                <w:szCs w:val="22"/>
              </w:rPr>
            </w:pPr>
            <w:r>
              <w:rPr>
                <w:color w:val="000000"/>
                <w:sz w:val="22"/>
                <w:szCs w:val="22"/>
              </w:rPr>
              <w:t>24</w:t>
            </w:r>
          </w:p>
        </w:tc>
        <w:tc>
          <w:tcPr>
            <w:tcW w:w="1660" w:type="dxa"/>
            <w:tcBorders>
              <w:left w:val="single" w:sz="8" w:space="0" w:color="00000A"/>
              <w:right w:val="single" w:sz="8" w:space="0" w:color="00000A"/>
              <w:insideV w:val="single" w:sz="8" w:space="0" w:color="00000A"/>
            </w:tcBorders>
            <w:shd w:fill="auto" w:val="clear"/>
            <w:vAlign w:val="bottom"/>
          </w:tcPr>
          <w:p>
            <w:pPr>
              <w:pStyle w:val="Normal"/>
              <w:jc w:val="right"/>
              <w:rPr>
                <w:color w:val="000000"/>
                <w:sz w:val="22"/>
                <w:szCs w:val="22"/>
              </w:rPr>
            </w:pPr>
            <w:r>
              <w:rPr>
                <w:color w:val="000000"/>
                <w:sz w:val="22"/>
                <w:szCs w:val="22"/>
              </w:rPr>
              <w:t>16</w:t>
            </w:r>
          </w:p>
        </w:tc>
        <w:tc>
          <w:tcPr>
            <w:tcW w:w="2140" w:type="dxa"/>
            <w:tcBorders/>
            <w:shd w:fill="auto" w:val="clear"/>
            <w:vAlign w:val="bottom"/>
          </w:tcPr>
          <w:p>
            <w:pPr>
              <w:pStyle w:val="Normal"/>
              <w:jc w:val="right"/>
              <w:rPr>
                <w:color w:val="000000"/>
                <w:sz w:val="22"/>
                <w:szCs w:val="22"/>
              </w:rPr>
            </w:pPr>
            <w:r>
              <w:rPr>
                <w:color w:val="000000"/>
                <w:sz w:val="22"/>
                <w:szCs w:val="22"/>
              </w:rPr>
              <w:t>365</w:t>
            </w:r>
          </w:p>
        </w:tc>
        <w:tc>
          <w:tcPr>
            <w:tcW w:w="1620" w:type="dxa"/>
            <w:tcBorders>
              <w:left w:val="single" w:sz="8" w:space="0" w:color="00000A"/>
              <w:right w:val="single" w:sz="8" w:space="0" w:color="00000A"/>
              <w:insideV w:val="single" w:sz="8" w:space="0" w:color="00000A"/>
            </w:tcBorders>
            <w:shd w:fill="auto" w:val="clear"/>
            <w:vAlign w:val="bottom"/>
          </w:tcPr>
          <w:p>
            <w:pPr>
              <w:pStyle w:val="Normal"/>
              <w:jc w:val="center"/>
              <w:rPr>
                <w:b/>
                <w:b/>
                <w:bCs/>
                <w:color w:val="000000"/>
                <w:sz w:val="22"/>
                <w:szCs w:val="22"/>
              </w:rPr>
            </w:pPr>
            <w:r>
              <w:rPr>
                <w:b/>
                <w:bCs/>
                <w:color w:val="000000"/>
                <w:sz w:val="22"/>
                <w:szCs w:val="22"/>
              </w:rPr>
              <w:t>140   160</w:t>
            </w:r>
          </w:p>
        </w:tc>
      </w:tr>
      <w:tr>
        <w:trPr>
          <w:trHeight w:val="315" w:hRule="atLeast"/>
        </w:trPr>
        <w:tc>
          <w:tcPr>
            <w:tcW w:w="2073" w:type="dxa"/>
            <w:tcBorders>
              <w:top w:val="single" w:sz="8" w:space="0" w:color="00000A"/>
              <w:left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166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w:t>
            </w:r>
          </w:p>
        </w:tc>
        <w:tc>
          <w:tcPr>
            <w:tcW w:w="2140" w:type="dxa"/>
            <w:tcBorders>
              <w:top w:val="single" w:sz="8" w:space="0" w:color="00000A"/>
              <w:bottom w:val="single" w:sz="8" w:space="0" w:color="00000A"/>
              <w:insideH w:val="single" w:sz="8" w:space="0" w:color="00000A"/>
            </w:tcBorders>
            <w:shd w:fill="auto" w:val="clear"/>
            <w:vAlign w:val="bottom"/>
          </w:tcPr>
          <w:p>
            <w:pPr>
              <w:pStyle w:val="Normal"/>
              <w:rPr>
                <w:color w:val="000000"/>
                <w:sz w:val="22"/>
                <w:szCs w:val="22"/>
              </w:rPr>
            </w:pPr>
            <w:r>
              <w:rPr>
                <w:color w:val="000000"/>
                <w:sz w:val="22"/>
                <w:szCs w:val="22"/>
              </w:rPr>
              <w:t> </w:t>
            </w:r>
          </w:p>
        </w:tc>
        <w:tc>
          <w:tcPr>
            <w:tcW w:w="1620"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vAlign w:val="bottom"/>
          </w:tcPr>
          <w:p>
            <w:pPr>
              <w:pStyle w:val="Normal"/>
              <w:rPr>
                <w:color w:val="000000"/>
                <w:sz w:val="22"/>
                <w:szCs w:val="22"/>
              </w:rPr>
            </w:pPr>
            <w:r>
              <w:rPr>
                <w:color w:val="000000"/>
                <w:sz w:val="22"/>
                <w:szCs w:val="22"/>
              </w:rPr>
              <w:t> </w:t>
            </w:r>
          </w:p>
        </w:tc>
      </w:tr>
    </w:tbl>
    <w:p>
      <w:pPr>
        <w:pStyle w:val="Normal"/>
        <w:ind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tbl>
      <w:tblPr>
        <w:tblW w:w="7471" w:type="dxa"/>
        <w:jc w:val="left"/>
        <w:tblInd w:w="1084" w:type="dxa"/>
        <w:tblBorders/>
        <w:tblCellMar>
          <w:top w:w="0" w:type="dxa"/>
          <w:left w:w="70" w:type="dxa"/>
          <w:bottom w:w="0" w:type="dxa"/>
          <w:right w:w="70" w:type="dxa"/>
        </w:tblCellMar>
        <w:tblLook w:firstRow="1" w:noVBand="1" w:lastRow="0" w:firstColumn="1" w:lastColumn="0" w:noHBand="0" w:val="04a0"/>
      </w:tblPr>
      <w:tblGrid>
        <w:gridCol w:w="1134"/>
        <w:gridCol w:w="5055"/>
        <w:gridCol w:w="195"/>
        <w:gridCol w:w="1086"/>
      </w:tblGrid>
      <w:tr>
        <w:trPr>
          <w:trHeight w:val="300" w:hRule="atLeast"/>
        </w:trPr>
        <w:tc>
          <w:tcPr>
            <w:tcW w:w="7470" w:type="dxa"/>
            <w:gridSpan w:val="4"/>
            <w:tcBorders/>
            <w:shd w:fill="auto" w:val="clear"/>
            <w:vAlign w:val="bottom"/>
          </w:tcPr>
          <w:p>
            <w:pPr>
              <w:pStyle w:val="Normal"/>
              <w:rPr>
                <w:b/>
                <w:b/>
                <w:bCs/>
                <w:sz w:val="22"/>
                <w:szCs w:val="22"/>
              </w:rPr>
            </w:pPr>
            <w:r>
              <w:rPr>
                <w:b/>
                <w:bCs/>
                <w:sz w:val="22"/>
                <w:szCs w:val="22"/>
              </w:rPr>
              <w:t>BUDGET 2018 DU PROJET DE RESIDENCE-ACCUEIL DE SURESNES</w:t>
            </w:r>
          </w:p>
          <w:p>
            <w:pPr>
              <w:pStyle w:val="Normal"/>
              <w:rPr>
                <w:b/>
                <w:b/>
                <w:bCs/>
                <w:sz w:val="22"/>
                <w:szCs w:val="22"/>
              </w:rPr>
            </w:pPr>
            <w:r>
              <w:rPr>
                <w:b/>
                <w:bCs/>
                <w:sz w:val="22"/>
                <w:szCs w:val="22"/>
              </w:rPr>
            </w:r>
          </w:p>
          <w:p>
            <w:pPr>
              <w:pStyle w:val="Normal"/>
              <w:rPr>
                <w:b/>
                <w:b/>
                <w:bCs/>
                <w:sz w:val="22"/>
                <w:szCs w:val="22"/>
              </w:rPr>
            </w:pPr>
            <w:r>
              <w:rPr>
                <w:b/>
                <w:bCs/>
                <w:sz w:val="22"/>
                <w:szCs w:val="22"/>
              </w:rPr>
            </w:r>
          </w:p>
          <w:p>
            <w:pPr>
              <w:pStyle w:val="Normal"/>
              <w:rPr>
                <w:b/>
                <w:b/>
                <w:bCs/>
                <w:sz w:val="22"/>
                <w:szCs w:val="22"/>
              </w:rPr>
            </w:pPr>
            <w:r>
              <w:rPr>
                <w:b/>
                <w:bCs/>
                <w:sz w:val="22"/>
                <w:szCs w:val="22"/>
              </w:rPr>
            </w:r>
          </w:p>
        </w:tc>
      </w:tr>
      <w:tr>
        <w:trPr>
          <w:trHeight w:val="23" w:hRule="exact"/>
        </w:trPr>
        <w:tc>
          <w:tcPr>
            <w:tcW w:w="1134" w:type="dxa"/>
            <w:tcBorders/>
            <w:shd w:fill="auto" w:val="clear"/>
            <w:vAlign w:val="bottom"/>
          </w:tcPr>
          <w:p>
            <w:pPr>
              <w:pStyle w:val="Normal"/>
              <w:rPr>
                <w:b/>
                <w:b/>
                <w:bCs/>
                <w:sz w:val="22"/>
                <w:szCs w:val="22"/>
              </w:rPr>
            </w:pPr>
            <w:r>
              <w:rPr>
                <w:b/>
                <w:bCs/>
                <w:sz w:val="22"/>
                <w:szCs w:val="22"/>
              </w:rPr>
            </w:r>
          </w:p>
        </w:tc>
        <w:tc>
          <w:tcPr>
            <w:tcW w:w="5055" w:type="dxa"/>
            <w:tcBorders/>
            <w:shd w:fill="auto" w:val="clear"/>
            <w:vAlign w:val="bottom"/>
          </w:tcPr>
          <w:p>
            <w:pPr>
              <w:pStyle w:val="Normal"/>
              <w:rPr>
                <w:b/>
                <w:b/>
                <w:bCs/>
                <w:sz w:val="22"/>
                <w:szCs w:val="22"/>
              </w:rPr>
            </w:pPr>
            <w:r>
              <w:rPr>
                <w:b/>
                <w:bCs/>
                <w:sz w:val="22"/>
                <w:szCs w:val="22"/>
              </w:rPr>
            </w:r>
          </w:p>
        </w:tc>
        <w:tc>
          <w:tcPr>
            <w:tcW w:w="195" w:type="dxa"/>
            <w:tcBorders/>
            <w:shd w:fill="auto" w:val="clear"/>
            <w:vAlign w:val="bottom"/>
          </w:tcPr>
          <w:p>
            <w:pPr>
              <w:pStyle w:val="Normal"/>
              <w:jc w:val="center"/>
              <w:rPr>
                <w:b/>
                <w:b/>
                <w:bCs/>
                <w:sz w:val="22"/>
                <w:szCs w:val="22"/>
              </w:rPr>
            </w:pPr>
            <w:r>
              <w:rPr>
                <w:b/>
                <w:bCs/>
                <w:sz w:val="22"/>
                <w:szCs w:val="22"/>
              </w:rPr>
            </w:r>
          </w:p>
        </w:tc>
        <w:tc>
          <w:tcPr>
            <w:tcW w:w="1086" w:type="dxa"/>
            <w:tcBorders/>
            <w:shd w:fill="auto" w:val="clear"/>
            <w:vAlign w:val="bottom"/>
          </w:tcPr>
          <w:p>
            <w:pPr>
              <w:pStyle w:val="Normal"/>
              <w:jc w:val="center"/>
              <w:rPr>
                <w:b/>
                <w:b/>
                <w:bCs/>
                <w:sz w:val="22"/>
                <w:szCs w:val="22"/>
              </w:rPr>
            </w:pPr>
            <w:r>
              <w:rPr>
                <w:b/>
                <w:bCs/>
                <w:sz w:val="22"/>
                <w:szCs w:val="22"/>
              </w:rPr>
            </w:r>
          </w:p>
        </w:tc>
      </w:tr>
      <w:tr>
        <w:trPr>
          <w:trHeight w:val="130" w:hRule="atLeast"/>
        </w:trPr>
        <w:tc>
          <w:tcPr>
            <w:tcW w:w="1134" w:type="dxa"/>
            <w:tcBorders>
              <w:top w:val="single" w:sz="8" w:space="0" w:color="00000A"/>
              <w:left w:val="single" w:sz="8" w:space="0" w:color="00000A"/>
            </w:tcBorders>
            <w:shd w:fill="auto" w:val="clear"/>
            <w:tcMar>
              <w:left w:w="60" w:type="dxa"/>
            </w:tcMar>
            <w:vAlign w:val="bottom"/>
          </w:tcPr>
          <w:p>
            <w:pPr>
              <w:pStyle w:val="Normal"/>
              <w:rPr>
                <w:sz w:val="22"/>
                <w:szCs w:val="22"/>
              </w:rPr>
            </w:pPr>
            <w:r>
              <w:rPr>
                <w:sz w:val="22"/>
                <w:szCs w:val="22"/>
              </w:rPr>
              <w:t> </w:t>
            </w:r>
          </w:p>
        </w:tc>
        <w:tc>
          <w:tcPr>
            <w:tcW w:w="5055" w:type="dxa"/>
            <w:tcBorders>
              <w:top w:val="single" w:sz="8" w:space="0" w:color="00000A"/>
              <w:left w:val="single" w:sz="8" w:space="0" w:color="00000A"/>
              <w:right w:val="single" w:sz="8" w:space="0" w:color="00000A"/>
              <w:insideV w:val="single" w:sz="8" w:space="0" w:color="00000A"/>
            </w:tcBorders>
            <w:shd w:fill="auto" w:val="clear"/>
            <w:tcMar>
              <w:left w:w="60" w:type="dxa"/>
            </w:tcMar>
            <w:vAlign w:val="bottom"/>
          </w:tcPr>
          <w:p>
            <w:pPr>
              <w:pStyle w:val="Normal"/>
              <w:rPr>
                <w:color w:val="000000"/>
                <w:sz w:val="22"/>
                <w:szCs w:val="22"/>
              </w:rPr>
            </w:pPr>
            <w:r>
              <w:rPr>
                <w:color w:val="000000"/>
                <w:sz w:val="22"/>
                <w:szCs w:val="22"/>
              </w:rPr>
              <w:t> </w:t>
            </w:r>
          </w:p>
        </w:tc>
        <w:tc>
          <w:tcPr>
            <w:tcW w:w="195" w:type="dxa"/>
            <w:tcBorders>
              <w:top w:val="single" w:sz="8" w:space="0" w:color="00000A"/>
            </w:tcBorders>
            <w:shd w:fill="auto" w:val="clear"/>
            <w:vAlign w:val="bottom"/>
          </w:tcPr>
          <w:p>
            <w:pPr>
              <w:pStyle w:val="Normal"/>
              <w:jc w:val="center"/>
              <w:rPr>
                <w:b/>
                <w:b/>
                <w:bCs/>
                <w:sz w:val="22"/>
                <w:szCs w:val="22"/>
              </w:rPr>
            </w:pPr>
            <w:r>
              <w:rPr>
                <w:b/>
                <w:bCs/>
                <w:sz w:val="22"/>
                <w:szCs w:val="22"/>
              </w:rPr>
              <w:t> </w:t>
            </w:r>
          </w:p>
        </w:tc>
        <w:tc>
          <w:tcPr>
            <w:tcW w:w="1086"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jc w:val="center"/>
              <w:rPr>
                <w:b/>
                <w:b/>
                <w:bCs/>
                <w:sz w:val="22"/>
                <w:szCs w:val="22"/>
              </w:rPr>
            </w:pPr>
            <w:r>
              <w:rPr>
                <w:b/>
                <w:bCs/>
                <w:sz w:val="22"/>
                <w:szCs w:val="22"/>
              </w:rPr>
              <w:t>BP 2018</w:t>
            </w:r>
          </w:p>
        </w:tc>
      </w:tr>
      <w:tr>
        <w:trPr>
          <w:trHeight w:val="144" w:hRule="atLeast"/>
        </w:trPr>
        <w:tc>
          <w:tcPr>
            <w:tcW w:w="1134" w:type="dxa"/>
            <w:tcBorders>
              <w:top w:val="single" w:sz="8" w:space="0" w:color="00000A"/>
              <w:left w:val="single" w:sz="8" w:space="0" w:color="00000A"/>
              <w:bottom w:val="single" w:sz="8" w:space="0" w:color="00000A"/>
              <w:insideH w:val="single" w:sz="8" w:space="0" w:color="00000A"/>
            </w:tcBorders>
            <w:shd w:fill="auto" w:val="clear"/>
            <w:tcMar>
              <w:left w:w="60" w:type="dxa"/>
            </w:tcMar>
            <w:vAlign w:val="center"/>
          </w:tcPr>
          <w:p>
            <w:pPr>
              <w:pStyle w:val="Normal"/>
              <w:jc w:val="center"/>
              <w:rPr>
                <w:b/>
                <w:b/>
                <w:bCs/>
                <w:sz w:val="20"/>
                <w:szCs w:val="20"/>
              </w:rPr>
            </w:pPr>
            <w:r>
              <w:rPr>
                <w:b/>
                <w:bCs/>
                <w:sz w:val="20"/>
                <w:szCs w:val="20"/>
              </w:rPr>
              <w:t>Comptes</w:t>
            </w:r>
          </w:p>
        </w:tc>
        <w:tc>
          <w:tcPr>
            <w:tcW w:w="50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sz w:val="20"/>
                <w:szCs w:val="20"/>
              </w:rPr>
            </w:pPr>
            <w:r>
              <w:rPr>
                <w:sz w:val="20"/>
                <w:szCs w:val="20"/>
              </w:rPr>
              <w:t> </w:t>
            </w:r>
          </w:p>
        </w:tc>
        <w:tc>
          <w:tcPr>
            <w:tcW w:w="195" w:type="dxa"/>
            <w:tcBorders>
              <w:top w:val="single" w:sz="8" w:space="0" w:color="00000A"/>
              <w:bottom w:val="single" w:sz="8" w:space="0" w:color="00000A"/>
              <w:insideH w:val="single" w:sz="8" w:space="0" w:color="00000A"/>
            </w:tcBorders>
            <w:shd w:fill="auto" w:val="clear"/>
            <w:vAlign w:val="bottom"/>
          </w:tcPr>
          <w:p>
            <w:pPr>
              <w:pStyle w:val="Normal"/>
              <w:jc w:val="center"/>
              <w:rPr>
                <w:sz w:val="20"/>
                <w:szCs w:val="20"/>
              </w:rPr>
            </w:pPr>
            <w:r>
              <w:rPr>
                <w:sz w:val="20"/>
                <w:szCs w:val="20"/>
              </w:rPr>
              <w:t> </w:t>
            </w:r>
          </w:p>
        </w:tc>
        <w:tc>
          <w:tcPr>
            <w:tcW w:w="1086" w:type="dxa"/>
            <w:tcBorders>
              <w:left w:val="single" w:sz="8" w:space="0" w:color="00000A"/>
              <w:right w:val="single" w:sz="8" w:space="0" w:color="00000A"/>
              <w:insideV w:val="single" w:sz="8" w:space="0" w:color="00000A"/>
            </w:tcBorders>
            <w:shd w:fill="auto" w:val="clear"/>
            <w:tcMar>
              <w:left w:w="60" w:type="dxa"/>
            </w:tcMar>
            <w:vAlign w:val="bottom"/>
          </w:tcPr>
          <w:p>
            <w:pPr>
              <w:pStyle w:val="Normal"/>
              <w:jc w:val="center"/>
              <w:rPr>
                <w:sz w:val="20"/>
                <w:szCs w:val="20"/>
              </w:rPr>
            </w:pPr>
            <w:r>
              <w:rPr>
                <w:sz w:val="20"/>
                <w:szCs w:val="20"/>
              </w:rPr>
              <w:t> </w:t>
            </w:r>
          </w:p>
        </w:tc>
      </w:tr>
      <w:tr>
        <w:trPr>
          <w:trHeight w:val="180" w:hRule="atLeast"/>
        </w:trPr>
        <w:tc>
          <w:tcPr>
            <w:tcW w:w="1134" w:type="dxa"/>
            <w:tcBorders>
              <w:top w:val="single" w:sz="4" w:space="0" w:color="00000A"/>
              <w:left w:val="single" w:sz="8" w:space="0" w:color="00000A"/>
              <w:bottom w:val="single" w:sz="4" w:space="0" w:color="00000A"/>
              <w:insideH w:val="single" w:sz="4" w:space="0" w:color="00000A"/>
            </w:tcBorders>
            <w:shd w:fill="auto" w:val="clear"/>
            <w:tcMar>
              <w:left w:w="60" w:type="dxa"/>
            </w:tcMar>
            <w:vAlign w:val="bottom"/>
          </w:tcPr>
          <w:p>
            <w:pPr>
              <w:pStyle w:val="Normal"/>
              <w:jc w:val="center"/>
              <w:rPr>
                <w:sz w:val="20"/>
                <w:szCs w:val="20"/>
              </w:rPr>
            </w:pPr>
            <w:r>
              <w:rPr>
                <w:sz w:val="20"/>
                <w:szCs w:val="20"/>
              </w:rPr>
              <w:t>606110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rPr>
                <w:sz w:val="20"/>
                <w:szCs w:val="20"/>
              </w:rPr>
            </w:pPr>
            <w:r>
              <w:rPr>
                <w:sz w:val="20"/>
                <w:szCs w:val="20"/>
              </w:rPr>
              <w:t>Eau</w:t>
            </w:r>
          </w:p>
        </w:tc>
        <w:tc>
          <w:tcPr>
            <w:tcW w:w="195" w:type="dxa"/>
            <w:tcBorders>
              <w:top w:val="single" w:sz="4" w:space="0" w:color="00000A"/>
              <w:bottom w:val="single" w:sz="4" w:space="0" w:color="00000A"/>
              <w:insideH w:val="single" w:sz="4" w:space="0" w:color="00000A"/>
            </w:tcBorders>
            <w:shd w:fill="auto"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jc w:val="right"/>
              <w:rPr>
                <w:sz w:val="20"/>
                <w:szCs w:val="20"/>
              </w:rPr>
            </w:pPr>
            <w:r>
              <w:rPr>
                <w:sz w:val="20"/>
                <w:szCs w:val="20"/>
              </w:rPr>
              <w:t>5 149</w:t>
            </w:r>
          </w:p>
        </w:tc>
      </w:tr>
      <w:tr>
        <w:trPr>
          <w:trHeight w:val="222" w:hRule="atLeast"/>
        </w:trPr>
        <w:tc>
          <w:tcPr>
            <w:tcW w:w="1134" w:type="dxa"/>
            <w:tcBorders>
              <w:top w:val="single" w:sz="4" w:space="0" w:color="00000A"/>
              <w:left w:val="single" w:sz="8" w:space="0" w:color="00000A"/>
              <w:bottom w:val="single" w:sz="4" w:space="0" w:color="00000A"/>
              <w:insideH w:val="single" w:sz="4" w:space="0" w:color="00000A"/>
            </w:tcBorders>
            <w:shd w:fill="auto" w:val="clear"/>
            <w:tcMar>
              <w:left w:w="60" w:type="dxa"/>
            </w:tcMar>
            <w:vAlign w:val="bottom"/>
          </w:tcPr>
          <w:p>
            <w:pPr>
              <w:pStyle w:val="Normal"/>
              <w:jc w:val="center"/>
              <w:rPr>
                <w:sz w:val="20"/>
                <w:szCs w:val="20"/>
              </w:rPr>
            </w:pPr>
            <w:r>
              <w:rPr>
                <w:sz w:val="20"/>
                <w:szCs w:val="20"/>
              </w:rPr>
              <w:t>606120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rPr>
                <w:sz w:val="20"/>
                <w:szCs w:val="20"/>
              </w:rPr>
            </w:pPr>
            <w:r>
              <w:rPr>
                <w:sz w:val="20"/>
                <w:szCs w:val="20"/>
              </w:rPr>
              <w:t>Electricité</w:t>
            </w:r>
          </w:p>
        </w:tc>
        <w:tc>
          <w:tcPr>
            <w:tcW w:w="195" w:type="dxa"/>
            <w:tcBorders>
              <w:top w:val="single" w:sz="4" w:space="0" w:color="00000A"/>
              <w:bottom w:val="single" w:sz="4" w:space="0" w:color="00000A"/>
              <w:insideH w:val="single" w:sz="4" w:space="0" w:color="00000A"/>
            </w:tcBorders>
            <w:shd w:fill="auto"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jc w:val="right"/>
              <w:rPr>
                <w:sz w:val="20"/>
                <w:szCs w:val="20"/>
              </w:rPr>
            </w:pPr>
            <w:r>
              <w:rPr>
                <w:sz w:val="20"/>
                <w:szCs w:val="20"/>
              </w:rPr>
              <w:t>4 000</w:t>
            </w:r>
          </w:p>
        </w:tc>
      </w:tr>
      <w:tr>
        <w:trPr>
          <w:trHeight w:val="269"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606220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Produits entretien</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500</w:t>
            </w:r>
          </w:p>
        </w:tc>
      </w:tr>
      <w:tr>
        <w:trPr>
          <w:trHeight w:val="130"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606240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Fourn. Administratives</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5 00</w:t>
            </w:r>
          </w:p>
        </w:tc>
      </w:tr>
      <w:tr>
        <w:trPr>
          <w:trHeight w:val="176"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606250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Fourn. Éduc.Sports&amp;Loisirs</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1 000</w:t>
            </w:r>
          </w:p>
        </w:tc>
      </w:tr>
      <w:tr>
        <w:trPr>
          <w:trHeight w:val="221"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606260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Fourn. Hotelières</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1 000</w:t>
            </w:r>
          </w:p>
        </w:tc>
      </w:tr>
      <w:tr>
        <w:trPr>
          <w:trHeight w:val="119" w:hRule="atLeast"/>
        </w:trPr>
        <w:tc>
          <w:tcPr>
            <w:tcW w:w="1134" w:type="dxa"/>
            <w:tcBorders>
              <w:top w:val="single" w:sz="8"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606800</w:t>
            </w:r>
          </w:p>
        </w:tc>
        <w:tc>
          <w:tcPr>
            <w:tcW w:w="5055"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Petits matériels et outillages</w:t>
            </w:r>
          </w:p>
        </w:tc>
        <w:tc>
          <w:tcPr>
            <w:tcW w:w="195"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vAlign w:val="bottom"/>
          </w:tcPr>
          <w:p>
            <w:pPr>
              <w:pStyle w:val="Normal"/>
              <w:jc w:val="right"/>
              <w:rPr>
                <w:sz w:val="20"/>
                <w:szCs w:val="20"/>
              </w:rPr>
            </w:pPr>
            <w:r>
              <w:rPr>
                <w:sz w:val="20"/>
                <w:szCs w:val="20"/>
              </w:rPr>
              <w:t>5 00</w:t>
            </w:r>
          </w:p>
        </w:tc>
      </w:tr>
      <w:tr>
        <w:trPr>
          <w:trHeight w:val="203" w:hRule="atLeast"/>
        </w:trPr>
        <w:tc>
          <w:tcPr>
            <w:tcW w:w="1134" w:type="dxa"/>
            <w:tcBorders>
              <w:left w:val="single" w:sz="8" w:space="0" w:color="00000A"/>
            </w:tcBorders>
            <w:shd w:fill="auto" w:val="clear"/>
            <w:tcMar>
              <w:left w:w="60" w:type="dxa"/>
            </w:tcMar>
            <w:vAlign w:val="bottom"/>
          </w:tcPr>
          <w:p>
            <w:pPr>
              <w:pStyle w:val="Normal"/>
              <w:jc w:val="center"/>
              <w:rPr>
                <w:sz w:val="20"/>
                <w:szCs w:val="20"/>
              </w:rPr>
            </w:pPr>
            <w:r>
              <w:rPr>
                <w:sz w:val="20"/>
                <w:szCs w:val="20"/>
              </w:rPr>
              <w:t>611200</w:t>
            </w:r>
          </w:p>
        </w:tc>
        <w:tc>
          <w:tcPr>
            <w:tcW w:w="5055" w:type="dxa"/>
            <w:tcBorders>
              <w:left w:val="single" w:sz="8" w:space="0" w:color="00000A"/>
              <w:right w:val="single" w:sz="8" w:space="0" w:color="00000A"/>
              <w:insideV w:val="single" w:sz="8" w:space="0" w:color="00000A"/>
            </w:tcBorders>
            <w:shd w:fill="auto" w:val="clear"/>
            <w:tcMar>
              <w:left w:w="60" w:type="dxa"/>
            </w:tcMar>
            <w:vAlign w:val="bottom"/>
          </w:tcPr>
          <w:p>
            <w:pPr>
              <w:pStyle w:val="Normal"/>
              <w:rPr>
                <w:sz w:val="20"/>
                <w:szCs w:val="20"/>
              </w:rPr>
            </w:pPr>
            <w:r>
              <w:rPr>
                <w:sz w:val="20"/>
                <w:szCs w:val="20"/>
              </w:rPr>
              <w:t>Sorties à l'extérieur</w:t>
            </w:r>
          </w:p>
        </w:tc>
        <w:tc>
          <w:tcPr>
            <w:tcW w:w="195" w:type="dxa"/>
            <w:tcBorders>
              <w:left w:val="single" w:sz="8" w:space="0" w:color="00000A"/>
              <w:right w:val="single" w:sz="8" w:space="0" w:color="00000A"/>
              <w:insideV w:val="single" w:sz="8" w:space="0" w:color="00000A"/>
            </w:tcBorders>
            <w:shd w:fill="auto" w:val="clear"/>
            <w:vAlign w:val="bottom"/>
          </w:tcPr>
          <w:p>
            <w:pPr>
              <w:pStyle w:val="Normal"/>
              <w:jc w:val="center"/>
              <w:rPr>
                <w:b/>
                <w:b/>
                <w:bCs/>
                <w:sz w:val="20"/>
                <w:szCs w:val="20"/>
              </w:rPr>
            </w:pPr>
            <w:r>
              <w:rPr>
                <w:b/>
                <w:bCs/>
                <w:sz w:val="20"/>
                <w:szCs w:val="20"/>
              </w:rPr>
              <w:t> </w:t>
            </w:r>
          </w:p>
        </w:tc>
        <w:tc>
          <w:tcPr>
            <w:tcW w:w="1086" w:type="dxa"/>
            <w:tcBorders>
              <w:left w:val="single" w:sz="8" w:space="0" w:color="00000A"/>
              <w:right w:val="single" w:sz="8" w:space="0" w:color="00000A"/>
              <w:insideV w:val="single" w:sz="8" w:space="0" w:color="00000A"/>
            </w:tcBorders>
            <w:shd w:fill="auto" w:val="clear"/>
            <w:vAlign w:val="bottom"/>
          </w:tcPr>
          <w:p>
            <w:pPr>
              <w:pStyle w:val="Normal"/>
              <w:jc w:val="right"/>
              <w:rPr>
                <w:sz w:val="20"/>
                <w:szCs w:val="20"/>
              </w:rPr>
            </w:pPr>
            <w:r>
              <w:rPr>
                <w:sz w:val="20"/>
                <w:szCs w:val="20"/>
              </w:rPr>
              <w:t>2 000</w:t>
            </w:r>
          </w:p>
        </w:tc>
      </w:tr>
      <w:tr>
        <w:trPr>
          <w:trHeight w:val="226" w:hRule="atLeast"/>
        </w:trPr>
        <w:tc>
          <w:tcPr>
            <w:tcW w:w="1134" w:type="dxa"/>
            <w:tcBorders>
              <w:top w:val="single" w:sz="8" w:space="0" w:color="00000A"/>
              <w:left w:val="single" w:sz="8" w:space="0" w:color="00000A"/>
            </w:tcBorders>
            <w:shd w:color="000000" w:fill="FFFFFF" w:val="clear"/>
            <w:tcMar>
              <w:left w:w="60" w:type="dxa"/>
            </w:tcMar>
            <w:vAlign w:val="bottom"/>
          </w:tcPr>
          <w:p>
            <w:pPr>
              <w:pStyle w:val="Normal"/>
              <w:jc w:val="center"/>
              <w:rPr>
                <w:sz w:val="20"/>
                <w:szCs w:val="20"/>
              </w:rPr>
            </w:pPr>
            <w:r>
              <w:rPr>
                <w:sz w:val="20"/>
                <w:szCs w:val="20"/>
              </w:rPr>
              <w:t>613200</w:t>
            </w:r>
          </w:p>
        </w:tc>
        <w:tc>
          <w:tcPr>
            <w:tcW w:w="5055" w:type="dxa"/>
            <w:tcBorders>
              <w:top w:val="single" w:sz="8" w:space="0" w:color="00000A"/>
              <w:left w:val="single" w:sz="8" w:space="0" w:color="00000A"/>
              <w:right w:val="single" w:sz="8"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Locations immobilières</w:t>
            </w:r>
          </w:p>
        </w:tc>
        <w:tc>
          <w:tcPr>
            <w:tcW w:w="195" w:type="dxa"/>
            <w:tcBorders>
              <w:top w:val="single" w:sz="8" w:space="0" w:color="00000A"/>
              <w:left w:val="single" w:sz="8" w:space="0" w:color="00000A"/>
              <w:right w:val="single" w:sz="8" w:space="0" w:color="00000A"/>
              <w:insideV w:val="single" w:sz="8"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right w:val="single" w:sz="8" w:space="0" w:color="00000A"/>
              <w:insideV w:val="single" w:sz="8" w:space="0" w:color="00000A"/>
            </w:tcBorders>
            <w:shd w:color="000000" w:fill="FFFFFF" w:val="clear"/>
            <w:vAlign w:val="bottom"/>
          </w:tcPr>
          <w:p>
            <w:pPr>
              <w:pStyle w:val="Normal"/>
              <w:jc w:val="right"/>
              <w:rPr>
                <w:sz w:val="20"/>
                <w:szCs w:val="20"/>
              </w:rPr>
            </w:pPr>
            <w:r>
              <w:rPr>
                <w:sz w:val="20"/>
                <w:szCs w:val="20"/>
              </w:rPr>
              <w:t>92 777</w:t>
            </w:r>
          </w:p>
        </w:tc>
      </w:tr>
      <w:tr>
        <w:trPr>
          <w:trHeight w:val="125" w:hRule="atLeast"/>
        </w:trPr>
        <w:tc>
          <w:tcPr>
            <w:tcW w:w="1134" w:type="dxa"/>
            <w:tcBorders>
              <w:top w:val="single" w:sz="4" w:space="0" w:color="00000A"/>
              <w:left w:val="single" w:sz="8" w:space="0" w:color="00000A"/>
              <w:bottom w:val="single" w:sz="8" w:space="0" w:color="00000A"/>
              <w:insideH w:val="single" w:sz="8" w:space="0" w:color="00000A"/>
            </w:tcBorders>
            <w:shd w:color="000000" w:fill="FFFFFF" w:val="clear"/>
            <w:tcMar>
              <w:left w:w="60" w:type="dxa"/>
            </w:tcMar>
            <w:vAlign w:val="bottom"/>
          </w:tcPr>
          <w:p>
            <w:pPr>
              <w:pStyle w:val="Normal"/>
              <w:jc w:val="center"/>
              <w:rPr>
                <w:sz w:val="20"/>
                <w:szCs w:val="20"/>
              </w:rPr>
            </w:pPr>
            <w:r>
              <w:rPr>
                <w:sz w:val="20"/>
                <w:szCs w:val="20"/>
              </w:rPr>
              <w:t> </w:t>
            </w:r>
          </w:p>
        </w:tc>
        <w:tc>
          <w:tcPr>
            <w:tcW w:w="5055" w:type="dxa"/>
            <w:tcBorders>
              <w:top w:val="single" w:sz="4" w:space="0" w:color="00000A"/>
              <w:left w:val="single" w:sz="8" w:space="0" w:color="00000A"/>
              <w:bottom w:val="single" w:sz="8" w:space="0" w:color="00000A"/>
              <w:right w:val="single" w:sz="8" w:space="0" w:color="00000A"/>
              <w:insideH w:val="single" w:sz="8"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Charges immobilières</w:t>
            </w:r>
          </w:p>
        </w:tc>
        <w:tc>
          <w:tcPr>
            <w:tcW w:w="195" w:type="dxa"/>
            <w:tcBorders>
              <w:top w:val="single" w:sz="4" w:space="0" w:color="00000A"/>
              <w:bottom w:val="single" w:sz="8" w:space="0" w:color="00000A"/>
              <w:insideH w:val="single" w:sz="8"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8" w:space="0" w:color="00000A"/>
              <w:right w:val="single" w:sz="8" w:space="0" w:color="00000A"/>
              <w:insideH w:val="single" w:sz="8"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48 010</w:t>
            </w:r>
          </w:p>
        </w:tc>
      </w:tr>
      <w:tr>
        <w:trPr>
          <w:trHeight w:val="162" w:hRule="atLeast"/>
        </w:trPr>
        <w:tc>
          <w:tcPr>
            <w:tcW w:w="1134" w:type="dxa"/>
            <w:tcBorders>
              <w:top w:val="single" w:sz="4" w:space="0" w:color="00000A"/>
              <w:left w:val="single" w:sz="8" w:space="0" w:color="00000A"/>
              <w:bottom w:val="single" w:sz="4" w:space="0" w:color="00000A"/>
              <w:insideH w:val="single" w:sz="4" w:space="0" w:color="00000A"/>
            </w:tcBorders>
            <w:shd w:fill="auto" w:val="clear"/>
            <w:tcMar>
              <w:left w:w="60" w:type="dxa"/>
            </w:tcMar>
            <w:vAlign w:val="bottom"/>
          </w:tcPr>
          <w:p>
            <w:pPr>
              <w:pStyle w:val="Normal"/>
              <w:jc w:val="center"/>
              <w:rPr>
                <w:sz w:val="20"/>
                <w:szCs w:val="20"/>
              </w:rPr>
            </w:pPr>
            <w:r>
              <w:rPr>
                <w:sz w:val="20"/>
                <w:szCs w:val="20"/>
              </w:rPr>
              <w:t>6152-6155</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rPr>
                <w:sz w:val="20"/>
                <w:szCs w:val="20"/>
              </w:rPr>
            </w:pPr>
            <w:r>
              <w:rPr>
                <w:sz w:val="20"/>
                <w:szCs w:val="20"/>
              </w:rPr>
              <w:t>Entretien et Réparation</w:t>
            </w:r>
          </w:p>
        </w:tc>
        <w:tc>
          <w:tcPr>
            <w:tcW w:w="195" w:type="dxa"/>
            <w:tcBorders>
              <w:top w:val="single" w:sz="4" w:space="0" w:color="00000A"/>
              <w:bottom w:val="single" w:sz="4" w:space="0" w:color="00000A"/>
              <w:insideH w:val="single" w:sz="4" w:space="0" w:color="00000A"/>
            </w:tcBorders>
            <w:shd w:fill="auto"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fill="auto" w:val="clear"/>
            <w:tcMar>
              <w:left w:w="60" w:type="dxa"/>
            </w:tcMar>
            <w:vAlign w:val="bottom"/>
          </w:tcPr>
          <w:p>
            <w:pPr>
              <w:pStyle w:val="Normal"/>
              <w:jc w:val="right"/>
              <w:rPr>
                <w:sz w:val="20"/>
                <w:szCs w:val="20"/>
              </w:rPr>
            </w:pPr>
            <w:r>
              <w:rPr>
                <w:sz w:val="20"/>
                <w:szCs w:val="20"/>
              </w:rPr>
              <w:t>7 00</w:t>
            </w:r>
          </w:p>
        </w:tc>
      </w:tr>
      <w:tr>
        <w:trPr>
          <w:trHeight w:val="217" w:hRule="atLeast"/>
        </w:trPr>
        <w:tc>
          <w:tcPr>
            <w:tcW w:w="1134" w:type="dxa"/>
            <w:tcBorders>
              <w:top w:val="single" w:sz="8" w:space="0" w:color="00000A"/>
              <w:left w:val="single" w:sz="8" w:space="0" w:color="00000A"/>
              <w:bottom w:val="single" w:sz="8" w:space="0" w:color="00000A"/>
              <w:insideH w:val="single" w:sz="8" w:space="0" w:color="00000A"/>
            </w:tcBorders>
            <w:shd w:fill="auto" w:val="clear"/>
            <w:tcMar>
              <w:left w:w="60" w:type="dxa"/>
            </w:tcMar>
            <w:vAlign w:val="bottom"/>
          </w:tcPr>
          <w:p>
            <w:pPr>
              <w:pStyle w:val="Normal"/>
              <w:jc w:val="center"/>
              <w:rPr>
                <w:sz w:val="20"/>
                <w:szCs w:val="20"/>
              </w:rPr>
            </w:pPr>
            <w:r>
              <w:rPr>
                <w:sz w:val="20"/>
                <w:szCs w:val="20"/>
              </w:rPr>
              <w:t>615600</w:t>
            </w:r>
          </w:p>
        </w:tc>
        <w:tc>
          <w:tcPr>
            <w:tcW w:w="50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rPr>
                <w:sz w:val="20"/>
                <w:szCs w:val="20"/>
              </w:rPr>
            </w:pPr>
            <w:r>
              <w:rPr>
                <w:sz w:val="20"/>
                <w:szCs w:val="20"/>
              </w:rPr>
              <w:t>Contrats de Maintenance</w:t>
            </w:r>
          </w:p>
        </w:tc>
        <w:tc>
          <w:tcPr>
            <w:tcW w:w="195" w:type="dxa"/>
            <w:tcBorders>
              <w:top w:val="single" w:sz="8" w:space="0" w:color="00000A"/>
              <w:bottom w:val="single" w:sz="8" w:space="0" w:color="00000A"/>
              <w:insideH w:val="single" w:sz="8" w:space="0" w:color="00000A"/>
            </w:tcBorders>
            <w:shd w:fill="auto"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fill="auto" w:val="clear"/>
            <w:tcMar>
              <w:left w:w="60" w:type="dxa"/>
            </w:tcMar>
            <w:vAlign w:val="bottom"/>
          </w:tcPr>
          <w:p>
            <w:pPr>
              <w:pStyle w:val="Normal"/>
              <w:jc w:val="right"/>
              <w:rPr>
                <w:sz w:val="20"/>
                <w:szCs w:val="20"/>
              </w:rPr>
            </w:pPr>
            <w:r>
              <w:rPr>
                <w:sz w:val="20"/>
                <w:szCs w:val="20"/>
              </w:rPr>
              <w:t>3 300</w:t>
            </w:r>
          </w:p>
        </w:tc>
      </w:tr>
      <w:tr>
        <w:trPr>
          <w:trHeight w:val="254" w:hRule="atLeast"/>
        </w:trPr>
        <w:tc>
          <w:tcPr>
            <w:tcW w:w="1134" w:type="dxa"/>
            <w:tcBorders>
              <w:top w:val="single" w:sz="8" w:space="0" w:color="00000A"/>
              <w:left w:val="single" w:sz="8" w:space="0" w:color="00000A"/>
              <w:bottom w:val="single" w:sz="8" w:space="0" w:color="00000A"/>
              <w:insideH w:val="single" w:sz="8" w:space="0" w:color="00000A"/>
            </w:tcBorders>
            <w:shd w:color="000000" w:fill="FFFFFF" w:val="clear"/>
            <w:tcMar>
              <w:left w:w="60" w:type="dxa"/>
            </w:tcMar>
            <w:vAlign w:val="bottom"/>
          </w:tcPr>
          <w:p>
            <w:pPr>
              <w:pStyle w:val="Normal"/>
              <w:jc w:val="center"/>
              <w:rPr>
                <w:sz w:val="20"/>
                <w:szCs w:val="20"/>
              </w:rPr>
            </w:pPr>
            <w:r>
              <w:rPr>
                <w:sz w:val="20"/>
                <w:szCs w:val="20"/>
              </w:rPr>
              <w:t>616100</w:t>
            </w:r>
          </w:p>
        </w:tc>
        <w:tc>
          <w:tcPr>
            <w:tcW w:w="5055"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Assurance multirisques</w:t>
            </w:r>
          </w:p>
        </w:tc>
        <w:tc>
          <w:tcPr>
            <w:tcW w:w="195" w:type="dxa"/>
            <w:tcBorders>
              <w:top w:val="single" w:sz="8" w:space="0" w:color="00000A"/>
              <w:bottom w:val="single" w:sz="8" w:space="0" w:color="00000A"/>
              <w:insideH w:val="single" w:sz="8"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bottom w:val="single" w:sz="8" w:space="0" w:color="00000A"/>
              <w:right w:val="single" w:sz="8" w:space="0" w:color="00000A"/>
              <w:insideH w:val="single" w:sz="8"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2 748</w:t>
            </w:r>
          </w:p>
        </w:tc>
      </w:tr>
      <w:tr>
        <w:trPr>
          <w:trHeight w:val="225"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626100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Affranchissements</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300</w:t>
            </w:r>
          </w:p>
        </w:tc>
      </w:tr>
      <w:tr>
        <w:trPr>
          <w:trHeight w:val="139"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626200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Téléphone-Internet</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2 500</w:t>
            </w:r>
          </w:p>
        </w:tc>
      </w:tr>
      <w:tr>
        <w:trPr>
          <w:trHeight w:val="143"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63-64</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 xml:space="preserve">Salaire et charges personnel </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98 039</w:t>
            </w:r>
          </w:p>
        </w:tc>
      </w:tr>
      <w:tr>
        <w:trPr>
          <w:trHeight w:val="200"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647500</w:t>
            </w:r>
          </w:p>
        </w:tc>
        <w:tc>
          <w:tcPr>
            <w:tcW w:w="505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Médecine du travail</w:t>
            </w:r>
          </w:p>
        </w:tc>
        <w:tc>
          <w:tcPr>
            <w:tcW w:w="195" w:type="dxa"/>
            <w:tcBorders>
              <w:top w:val="single" w:sz="4"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700</w:t>
            </w:r>
          </w:p>
        </w:tc>
      </w:tr>
      <w:tr>
        <w:trPr>
          <w:trHeight w:val="89" w:hRule="atLeast"/>
        </w:trPr>
        <w:tc>
          <w:tcPr>
            <w:tcW w:w="1134" w:type="dxa"/>
            <w:tcBorders>
              <w:left w:val="single" w:sz="8" w:space="0" w:color="00000A"/>
            </w:tcBorders>
            <w:shd w:color="000000" w:fill="FFFFFF" w:val="clear"/>
            <w:tcMar>
              <w:left w:w="60" w:type="dxa"/>
            </w:tcMar>
            <w:vAlign w:val="bottom"/>
          </w:tcPr>
          <w:p>
            <w:pPr>
              <w:pStyle w:val="Normal"/>
              <w:jc w:val="center"/>
              <w:rPr>
                <w:sz w:val="20"/>
                <w:szCs w:val="20"/>
              </w:rPr>
            </w:pPr>
            <w:r>
              <w:rPr>
                <w:sz w:val="20"/>
                <w:szCs w:val="20"/>
              </w:rPr>
              <w:t>64882</w:t>
            </w:r>
          </w:p>
        </w:tc>
        <w:tc>
          <w:tcPr>
            <w:tcW w:w="5055" w:type="dxa"/>
            <w:tcBorders>
              <w:left w:val="single" w:sz="8" w:space="0" w:color="00000A"/>
              <w:right w:val="single" w:sz="8"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Autres charges du personnel</w:t>
            </w:r>
          </w:p>
        </w:tc>
        <w:tc>
          <w:tcPr>
            <w:tcW w:w="195" w:type="dxa"/>
            <w:tcBorders/>
            <w:shd w:color="000000" w:fill="FFFFFF" w:val="clear"/>
            <w:vAlign w:val="bottom"/>
          </w:tcPr>
          <w:p>
            <w:pPr>
              <w:pStyle w:val="Normal"/>
              <w:jc w:val="center"/>
              <w:rPr>
                <w:b/>
                <w:b/>
                <w:bCs/>
                <w:sz w:val="20"/>
                <w:szCs w:val="20"/>
              </w:rPr>
            </w:pPr>
            <w:r>
              <w:rPr>
                <w:b/>
                <w:bCs/>
                <w:sz w:val="20"/>
                <w:szCs w:val="20"/>
              </w:rPr>
              <w:t> </w:t>
            </w:r>
          </w:p>
        </w:tc>
        <w:tc>
          <w:tcPr>
            <w:tcW w:w="1086" w:type="dxa"/>
            <w:tcBorders>
              <w:left w:val="single" w:sz="8" w:space="0" w:color="00000A"/>
              <w:right w:val="single" w:sz="8" w:space="0" w:color="00000A"/>
              <w:insideV w:val="single" w:sz="8" w:space="0" w:color="00000A"/>
            </w:tcBorders>
            <w:shd w:color="000000" w:fill="FFFFFF" w:val="clear"/>
            <w:tcMar>
              <w:left w:w="60" w:type="dxa"/>
            </w:tcMar>
            <w:vAlign w:val="bottom"/>
          </w:tcPr>
          <w:p>
            <w:pPr>
              <w:pStyle w:val="Normal"/>
              <w:jc w:val="right"/>
              <w:rPr>
                <w:color w:val="000000"/>
                <w:sz w:val="20"/>
                <w:szCs w:val="20"/>
              </w:rPr>
            </w:pPr>
            <w:r>
              <w:rPr>
                <w:color w:val="000000"/>
                <w:sz w:val="20"/>
                <w:szCs w:val="20"/>
              </w:rPr>
              <w:t>4 556</w:t>
            </w:r>
          </w:p>
        </w:tc>
      </w:tr>
      <w:tr>
        <w:trPr>
          <w:trHeight w:val="125" w:hRule="atLeast"/>
        </w:trPr>
        <w:tc>
          <w:tcPr>
            <w:tcW w:w="1134" w:type="dxa"/>
            <w:tcBorders>
              <w:top w:val="single" w:sz="8"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655600</w:t>
            </w:r>
          </w:p>
        </w:tc>
        <w:tc>
          <w:tcPr>
            <w:tcW w:w="5055"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rPr>
                <w:sz w:val="20"/>
                <w:szCs w:val="20"/>
              </w:rPr>
            </w:pPr>
            <w:r>
              <w:rPr>
                <w:sz w:val="20"/>
                <w:szCs w:val="20"/>
              </w:rPr>
              <w:t>Frais de gestion</w:t>
            </w:r>
          </w:p>
        </w:tc>
        <w:tc>
          <w:tcPr>
            <w:tcW w:w="195" w:type="dxa"/>
            <w:tcBorders>
              <w:top w:val="single" w:sz="8" w:space="0" w:color="00000A"/>
              <w:bottom w:val="single" w:sz="4" w:space="0" w:color="00000A"/>
              <w:insideH w:val="single" w:sz="4" w:space="0" w:color="00000A"/>
            </w:tcBorders>
            <w:shd w:color="000000" w:fill="FFFFFF" w:val="cle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right"/>
              <w:rPr>
                <w:sz w:val="20"/>
                <w:szCs w:val="20"/>
              </w:rPr>
            </w:pPr>
            <w:r>
              <w:rPr>
                <w:sz w:val="20"/>
                <w:szCs w:val="20"/>
              </w:rPr>
              <w:t>5 000</w:t>
            </w:r>
          </w:p>
        </w:tc>
      </w:tr>
      <w:tr>
        <w:trPr>
          <w:trHeight w:val="203" w:hRule="atLeast"/>
        </w:trPr>
        <w:tc>
          <w:tcPr>
            <w:tcW w:w="1134"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jc w:val="center"/>
              <w:rPr>
                <w:sz w:val="20"/>
                <w:szCs w:val="20"/>
              </w:rPr>
            </w:pPr>
            <w:r>
              <w:rPr>
                <w:sz w:val="20"/>
                <w:szCs w:val="20"/>
              </w:rPr>
              <w:t>681100</w:t>
            </w:r>
          </w:p>
        </w:tc>
        <w:tc>
          <w:tcPr>
            <w:tcW w:w="5055" w:type="dxa"/>
            <w:tcBorders>
              <w:top w:val="single" w:sz="4" w:space="0" w:color="00000A"/>
              <w:left w:val="single" w:sz="8" w:space="0" w:color="00000A"/>
              <w:bottom w:val="single" w:sz="4" w:space="0" w:color="00000A"/>
              <w:insideH w:val="single" w:sz="4" w:space="0" w:color="00000A"/>
            </w:tcBorders>
            <w:shd w:color="000000" w:fill="FFFFFF" w:val="clear"/>
            <w:tcMar>
              <w:left w:w="60" w:type="dxa"/>
            </w:tcMar>
            <w:vAlign w:val="bottom"/>
          </w:tcPr>
          <w:p>
            <w:pPr>
              <w:pStyle w:val="Normal"/>
              <w:rPr>
                <w:sz w:val="20"/>
                <w:szCs w:val="20"/>
              </w:rPr>
            </w:pPr>
            <w:r>
              <w:rPr>
                <w:sz w:val="20"/>
                <w:szCs w:val="20"/>
              </w:rPr>
              <w:t xml:space="preserve">Dot. Amort. Immobilisations </w:t>
            </w:r>
          </w:p>
        </w:tc>
        <w:tc>
          <w:tcPr>
            <w:tcW w:w="195"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tcMar>
              <w:left w:w="60" w:type="dxa"/>
            </w:tcM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8" w:space="0" w:color="00000A"/>
              <w:bottom w:val="single" w:sz="4" w:space="0" w:color="00000A"/>
              <w:right w:val="single" w:sz="8" w:space="0" w:color="00000A"/>
              <w:insideH w:val="single" w:sz="4" w:space="0" w:color="00000A"/>
              <w:insideV w:val="single" w:sz="8" w:space="0" w:color="00000A"/>
            </w:tcBorders>
            <w:shd w:color="000000" w:fill="FFFFFF" w:val="clear"/>
            <w:vAlign w:val="bottom"/>
          </w:tcPr>
          <w:p>
            <w:pPr>
              <w:pStyle w:val="Normal"/>
              <w:jc w:val="right"/>
              <w:rPr>
                <w:sz w:val="20"/>
                <w:szCs w:val="20"/>
              </w:rPr>
            </w:pPr>
            <w:r>
              <w:rPr>
                <w:sz w:val="20"/>
                <w:szCs w:val="20"/>
              </w:rPr>
              <w:t>1 000</w:t>
            </w:r>
          </w:p>
        </w:tc>
      </w:tr>
      <w:tr>
        <w:trPr>
          <w:trHeight w:val="172" w:hRule="atLeast"/>
        </w:trPr>
        <w:tc>
          <w:tcPr>
            <w:tcW w:w="6189" w:type="dxa"/>
            <w:gridSpan w:val="2"/>
            <w:tcBorders>
              <w:top w:val="single" w:sz="8" w:space="0" w:color="00000A"/>
              <w:left w:val="single" w:sz="8" w:space="0" w:color="00000A"/>
              <w:bottom w:val="single" w:sz="8" w:space="0" w:color="00000A"/>
              <w:right w:val="single" w:sz="4" w:space="0" w:color="00000A"/>
              <w:insideH w:val="single" w:sz="8" w:space="0" w:color="00000A"/>
              <w:insideV w:val="single" w:sz="4" w:space="0" w:color="00000A"/>
            </w:tcBorders>
            <w:shd w:fill="auto" w:val="clear"/>
            <w:tcMar>
              <w:left w:w="60" w:type="dxa"/>
            </w:tcMar>
            <w:vAlign w:val="bottom"/>
          </w:tcPr>
          <w:p>
            <w:pPr>
              <w:pStyle w:val="Normal"/>
              <w:rPr>
                <w:b/>
                <w:b/>
                <w:bCs/>
                <w:sz w:val="20"/>
                <w:szCs w:val="20"/>
              </w:rPr>
            </w:pPr>
            <w:r>
              <w:rPr>
                <w:b/>
                <w:bCs/>
                <w:sz w:val="20"/>
                <w:szCs w:val="20"/>
              </w:rPr>
            </w:r>
          </w:p>
          <w:p>
            <w:pPr>
              <w:pStyle w:val="Normal"/>
              <w:rPr>
                <w:b/>
                <w:b/>
                <w:bCs/>
                <w:sz w:val="20"/>
                <w:szCs w:val="20"/>
              </w:rPr>
            </w:pPr>
            <w:r>
              <w:rPr>
                <w:b/>
                <w:bCs/>
                <w:sz w:val="20"/>
                <w:szCs w:val="20"/>
              </w:rPr>
              <w:t>TOTAL DES CHARGES</w:t>
            </w:r>
          </w:p>
        </w:tc>
        <w:tc>
          <w:tcPr>
            <w:tcW w:w="195" w:type="dxa"/>
            <w:tcBorders>
              <w:top w:val="single" w:sz="4"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tcMar>
              <w:left w:w="65" w:type="dxa"/>
            </w:tcM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tcMar>
              <w:left w:w="65" w:type="dxa"/>
            </w:tcMar>
            <w:vAlign w:val="bottom"/>
          </w:tcPr>
          <w:p>
            <w:pPr>
              <w:pStyle w:val="Normal"/>
              <w:jc w:val="right"/>
              <w:rPr>
                <w:b/>
                <w:b/>
                <w:bCs/>
                <w:sz w:val="20"/>
                <w:szCs w:val="20"/>
              </w:rPr>
            </w:pPr>
            <w:r>
              <w:rPr>
                <w:b/>
                <w:bCs/>
                <w:sz w:val="20"/>
                <w:szCs w:val="20"/>
              </w:rPr>
              <w:t>271 764</w:t>
            </w:r>
          </w:p>
        </w:tc>
      </w:tr>
      <w:tr>
        <w:trPr>
          <w:trHeight w:val="217" w:hRule="atLeast"/>
        </w:trPr>
        <w:tc>
          <w:tcPr>
            <w:tcW w:w="1134" w:type="dxa"/>
            <w:tcBorders>
              <w:left w:val="single" w:sz="8" w:space="0" w:color="00000A"/>
              <w:right w:val="single" w:sz="4" w:space="0" w:color="00000A"/>
              <w:insideV w:val="single" w:sz="4" w:space="0" w:color="00000A"/>
            </w:tcBorders>
            <w:shd w:fill="auto" w:val="clear"/>
            <w:tcMar>
              <w:left w:w="60" w:type="dxa"/>
            </w:tcMar>
            <w:vAlign w:val="center"/>
          </w:tcPr>
          <w:p>
            <w:pPr>
              <w:pStyle w:val="Normal"/>
              <w:jc w:val="center"/>
              <w:rPr>
                <w:b/>
                <w:b/>
                <w:bCs/>
                <w:sz w:val="20"/>
                <w:szCs w:val="20"/>
              </w:rPr>
            </w:pPr>
            <w:r>
              <w:rPr>
                <w:b/>
                <w:bCs/>
                <w:sz w:val="20"/>
                <w:szCs w:val="20"/>
              </w:rPr>
              <w:t>Comptes</w:t>
            </w:r>
          </w:p>
        </w:tc>
        <w:tc>
          <w:tcPr>
            <w:tcW w:w="5055" w:type="dxa"/>
            <w:tcBorders>
              <w:left w:val="single" w:sz="4" w:space="0" w:color="00000A"/>
              <w:right w:val="single" w:sz="4" w:space="0" w:color="00000A"/>
              <w:insideV w:val="single" w:sz="4" w:space="0" w:color="00000A"/>
            </w:tcBorders>
            <w:shd w:fill="auto" w:val="clear"/>
            <w:vAlign w:val="center"/>
          </w:tcPr>
          <w:p>
            <w:pPr>
              <w:pStyle w:val="Normal"/>
              <w:rPr>
                <w:b/>
                <w:b/>
                <w:bCs/>
                <w:sz w:val="20"/>
                <w:szCs w:val="20"/>
              </w:rPr>
            </w:pPr>
            <w:r>
              <w:rPr>
                <w:b/>
                <w:bCs/>
                <w:sz w:val="20"/>
                <w:szCs w:val="20"/>
              </w:rPr>
              <w:t>Libellés</w:t>
            </w:r>
          </w:p>
        </w:tc>
        <w:tc>
          <w:tcPr>
            <w:tcW w:w="195" w:type="dxa"/>
            <w:tcBorders>
              <w:left w:val="single" w:sz="4" w:space="0" w:color="00000A"/>
              <w:right w:val="single" w:sz="4" w:space="0" w:color="00000A"/>
              <w:insideV w:val="single" w:sz="4" w:space="0" w:color="00000A"/>
            </w:tcBorders>
            <w:shd w:fill="auto" w:val="clear"/>
            <w:tcMar>
              <w:left w:w="65" w:type="dxa"/>
            </w:tcM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tcMar>
              <w:left w:w="65" w:type="dxa"/>
            </w:tcMar>
            <w:vAlign w:val="bottom"/>
          </w:tcPr>
          <w:p>
            <w:pPr>
              <w:pStyle w:val="Normal"/>
              <w:jc w:val="right"/>
              <w:rPr>
                <w:sz w:val="20"/>
                <w:szCs w:val="20"/>
              </w:rPr>
            </w:pPr>
            <w:r>
              <w:rPr>
                <w:sz w:val="20"/>
                <w:szCs w:val="20"/>
              </w:rPr>
              <w:t> </w:t>
            </w:r>
          </w:p>
        </w:tc>
      </w:tr>
      <w:tr>
        <w:trPr>
          <w:trHeight w:val="108" w:hRule="atLeast"/>
        </w:trPr>
        <w:tc>
          <w:tcPr>
            <w:tcW w:w="1134" w:type="dxa"/>
            <w:tcBorders>
              <w:top w:val="single" w:sz="8" w:space="0" w:color="00000A"/>
              <w:left w:val="single" w:sz="8"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bottom"/>
          </w:tcPr>
          <w:p>
            <w:pPr>
              <w:pStyle w:val="Normal"/>
              <w:jc w:val="center"/>
              <w:rPr>
                <w:sz w:val="20"/>
                <w:szCs w:val="20"/>
              </w:rPr>
            </w:pPr>
            <w:r>
              <w:rPr>
                <w:sz w:val="20"/>
                <w:szCs w:val="20"/>
              </w:rPr>
              <w:t>708 300</w:t>
            </w:r>
          </w:p>
        </w:tc>
        <w:tc>
          <w:tcPr>
            <w:tcW w:w="5055" w:type="dxa"/>
            <w:tcBorders>
              <w:top w:val="single" w:sz="8"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bottom"/>
          </w:tcPr>
          <w:p>
            <w:pPr>
              <w:pStyle w:val="Normal"/>
              <w:rPr>
                <w:sz w:val="20"/>
                <w:szCs w:val="20"/>
              </w:rPr>
            </w:pPr>
            <w:r>
              <w:rPr>
                <w:sz w:val="20"/>
                <w:szCs w:val="20"/>
              </w:rPr>
              <w:t>Locations diverses</w:t>
            </w:r>
          </w:p>
        </w:tc>
        <w:tc>
          <w:tcPr>
            <w:tcW w:w="195" w:type="dxa"/>
            <w:tcBorders>
              <w:top w:val="single" w:sz="8"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jc w:val="center"/>
              <w:rPr>
                <w:b/>
                <w:b/>
                <w:bCs/>
                <w:sz w:val="20"/>
                <w:szCs w:val="20"/>
              </w:rPr>
            </w:pPr>
            <w:r>
              <w:rPr>
                <w:b/>
                <w:bCs/>
                <w:sz w:val="20"/>
                <w:szCs w:val="20"/>
              </w:rPr>
              <w:t> </w:t>
            </w:r>
          </w:p>
        </w:tc>
        <w:tc>
          <w:tcPr>
            <w:tcW w:w="1086" w:type="dxa"/>
            <w:tcBorders>
              <w:left w:val="single" w:sz="4" w:space="0" w:color="00000A"/>
              <w:right w:val="single" w:sz="4" w:space="0" w:color="00000A"/>
              <w:insideV w:val="single" w:sz="4" w:space="0" w:color="00000A"/>
            </w:tcBorders>
            <w:shd w:fill="auto" w:val="clear"/>
            <w:tcMar>
              <w:left w:w="65" w:type="dxa"/>
            </w:tcMar>
            <w:vAlign w:val="bottom"/>
          </w:tcPr>
          <w:p>
            <w:pPr>
              <w:pStyle w:val="Normal"/>
              <w:jc w:val="right"/>
              <w:rPr>
                <w:color w:val="000000"/>
                <w:sz w:val="20"/>
                <w:szCs w:val="20"/>
              </w:rPr>
            </w:pPr>
            <w:r>
              <w:rPr>
                <w:color w:val="000000"/>
                <w:sz w:val="20"/>
                <w:szCs w:val="20"/>
              </w:rPr>
              <w:t>131 613</w:t>
            </w:r>
          </w:p>
        </w:tc>
      </w:tr>
      <w:tr>
        <w:trPr>
          <w:trHeight w:val="171" w:hRule="atLeast"/>
        </w:trPr>
        <w:tc>
          <w:tcPr>
            <w:tcW w:w="1134" w:type="dxa"/>
            <w:tcBorders>
              <w:left w:val="single" w:sz="8" w:space="0" w:color="00000A"/>
              <w:right w:val="single" w:sz="4" w:space="0" w:color="00000A"/>
              <w:insideV w:val="single" w:sz="4" w:space="0" w:color="00000A"/>
            </w:tcBorders>
            <w:shd w:color="000000" w:fill="FFFFFF" w:val="clear"/>
            <w:tcMar>
              <w:left w:w="60" w:type="dxa"/>
            </w:tcMar>
            <w:vAlign w:val="bottom"/>
          </w:tcPr>
          <w:p>
            <w:pPr>
              <w:pStyle w:val="Normal"/>
              <w:jc w:val="center"/>
              <w:rPr>
                <w:sz w:val="20"/>
                <w:szCs w:val="20"/>
              </w:rPr>
            </w:pPr>
            <w:r>
              <w:rPr>
                <w:sz w:val="20"/>
                <w:szCs w:val="20"/>
              </w:rPr>
              <w:t>748 810</w:t>
            </w:r>
          </w:p>
        </w:tc>
        <w:tc>
          <w:tcPr>
            <w:tcW w:w="5055" w:type="dxa"/>
            <w:tcBorders>
              <w:left w:val="single" w:sz="4" w:space="0" w:color="00000A"/>
              <w:right w:val="single" w:sz="4" w:space="0" w:color="00000A"/>
              <w:insideV w:val="single" w:sz="4" w:space="0" w:color="00000A"/>
            </w:tcBorders>
            <w:shd w:color="000000" w:fill="FFFFFF" w:val="clear"/>
            <w:vAlign w:val="bottom"/>
          </w:tcPr>
          <w:p>
            <w:pPr>
              <w:pStyle w:val="Normal"/>
              <w:rPr>
                <w:sz w:val="20"/>
                <w:szCs w:val="20"/>
              </w:rPr>
            </w:pPr>
            <w:r>
              <w:rPr>
                <w:sz w:val="20"/>
                <w:szCs w:val="20"/>
              </w:rPr>
              <w:t>Subvention forfait DRIHL</w:t>
            </w:r>
          </w:p>
        </w:tc>
        <w:tc>
          <w:tcPr>
            <w:tcW w:w="195" w:type="dxa"/>
            <w:tcBorders>
              <w:left w:val="single" w:sz="4" w:space="0" w:color="00000A"/>
              <w:right w:val="single" w:sz="4" w:space="0" w:color="00000A"/>
              <w:insideV w:val="single" w:sz="4" w:space="0" w:color="00000A"/>
            </w:tcBorders>
            <w:shd w:color="000000" w:fill="FFFFFF" w:val="clear"/>
            <w:tcMar>
              <w:left w:w="65" w:type="dxa"/>
            </w:tcM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jc w:val="right"/>
              <w:rPr>
                <w:sz w:val="20"/>
                <w:szCs w:val="20"/>
              </w:rPr>
            </w:pPr>
            <w:r>
              <w:rPr>
                <w:sz w:val="20"/>
                <w:szCs w:val="20"/>
              </w:rPr>
              <w:t>140 160</w:t>
            </w:r>
          </w:p>
        </w:tc>
      </w:tr>
      <w:tr>
        <w:trPr>
          <w:trHeight w:val="213" w:hRule="atLeast"/>
        </w:trPr>
        <w:tc>
          <w:tcPr>
            <w:tcW w:w="6189" w:type="dxa"/>
            <w:gridSpan w:val="2"/>
            <w:tcBorders>
              <w:top w:val="single" w:sz="8" w:space="0" w:color="00000A"/>
              <w:left w:val="single" w:sz="8" w:space="0" w:color="00000A"/>
              <w:bottom w:val="single" w:sz="8" w:space="0" w:color="00000A"/>
              <w:right w:val="single" w:sz="4" w:space="0" w:color="00000A"/>
              <w:insideH w:val="single" w:sz="8" w:space="0" w:color="00000A"/>
              <w:insideV w:val="single" w:sz="4" w:space="0" w:color="00000A"/>
            </w:tcBorders>
            <w:shd w:fill="auto" w:val="clear"/>
            <w:tcMar>
              <w:left w:w="60" w:type="dxa"/>
            </w:tcMar>
            <w:vAlign w:val="bottom"/>
          </w:tcPr>
          <w:p>
            <w:pPr>
              <w:pStyle w:val="Normal"/>
              <w:rPr>
                <w:b/>
                <w:b/>
                <w:bCs/>
                <w:sz w:val="20"/>
                <w:szCs w:val="20"/>
              </w:rPr>
            </w:pPr>
            <w:r>
              <w:rPr>
                <w:b/>
                <w:bCs/>
                <w:sz w:val="20"/>
                <w:szCs w:val="20"/>
              </w:rPr>
              <w:t>TOTAL DES PRODUITS</w:t>
            </w:r>
          </w:p>
        </w:tc>
        <w:tc>
          <w:tcPr>
            <w:tcW w:w="195" w:type="dxa"/>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tcMar>
              <w:left w:w="65" w:type="dxa"/>
            </w:tcMar>
            <w:vAlign w:val="bottom"/>
          </w:tcPr>
          <w:p>
            <w:pPr>
              <w:pStyle w:val="Normal"/>
              <w:jc w:val="center"/>
              <w:rPr>
                <w:b/>
                <w:b/>
                <w:bCs/>
                <w:sz w:val="20"/>
                <w:szCs w:val="20"/>
              </w:rPr>
            </w:pPr>
            <w:r>
              <w:rPr>
                <w:b/>
                <w:bCs/>
                <w:sz w:val="20"/>
                <w:szCs w:val="20"/>
              </w:rPr>
              <w:t> </w:t>
            </w:r>
          </w:p>
        </w:tc>
        <w:tc>
          <w:tcPr>
            <w:tcW w:w="1086" w:type="dxa"/>
            <w:tcBorders>
              <w:top w:val="single" w:sz="8" w:space="0" w:color="00000A"/>
              <w:left w:val="single" w:sz="4" w:space="0" w:color="00000A"/>
              <w:bottom w:val="single" w:sz="8" w:space="0" w:color="00000A"/>
              <w:right w:val="single" w:sz="4" w:space="0" w:color="00000A"/>
              <w:insideH w:val="single" w:sz="8" w:space="0" w:color="00000A"/>
              <w:insideV w:val="single" w:sz="4" w:space="0" w:color="00000A"/>
            </w:tcBorders>
            <w:shd w:fill="auto" w:val="clear"/>
            <w:tcMar>
              <w:left w:w="65" w:type="dxa"/>
            </w:tcMar>
            <w:vAlign w:val="bottom"/>
          </w:tcPr>
          <w:p>
            <w:pPr>
              <w:pStyle w:val="Normal"/>
              <w:jc w:val="right"/>
              <w:rPr>
                <w:b/>
                <w:b/>
                <w:bCs/>
                <w:sz w:val="20"/>
                <w:szCs w:val="20"/>
              </w:rPr>
            </w:pPr>
            <w:r>
              <w:rPr>
                <w:b/>
                <w:bCs/>
                <w:sz w:val="20"/>
                <w:szCs w:val="20"/>
              </w:rPr>
              <w:t>271 764</w:t>
            </w:r>
          </w:p>
        </w:tc>
      </w:tr>
      <w:tr>
        <w:trPr>
          <w:trHeight w:val="90" w:hRule="atLeast"/>
        </w:trPr>
        <w:tc>
          <w:tcPr>
            <w:tcW w:w="6189" w:type="dxa"/>
            <w:gridSpan w:val="2"/>
            <w:tcBorders>
              <w:top w:val="single" w:sz="8" w:space="0" w:color="00000A"/>
              <w:left w:val="single" w:sz="8" w:space="0" w:color="00000A"/>
              <w:bottom w:val="single" w:sz="8" w:space="0" w:color="00000A"/>
              <w:right w:val="single" w:sz="4" w:space="0" w:color="00000A"/>
              <w:insideH w:val="single" w:sz="8" w:space="0" w:color="00000A"/>
              <w:insideV w:val="single" w:sz="4" w:space="0" w:color="00000A"/>
            </w:tcBorders>
            <w:shd w:fill="auto" w:val="clear"/>
            <w:tcMar>
              <w:left w:w="60" w:type="dxa"/>
            </w:tcMar>
            <w:vAlign w:val="center"/>
          </w:tcPr>
          <w:p>
            <w:pPr>
              <w:pStyle w:val="Normal"/>
              <w:rPr>
                <w:b/>
                <w:b/>
                <w:bCs/>
                <w:sz w:val="20"/>
                <w:szCs w:val="20"/>
              </w:rPr>
            </w:pPr>
            <w:r>
              <w:rPr>
                <w:b/>
                <w:bCs/>
                <w:sz w:val="20"/>
                <w:szCs w:val="20"/>
              </w:rPr>
              <w:t>RESULTAT COMPTABLE</w:t>
            </w:r>
          </w:p>
        </w:tc>
        <w:tc>
          <w:tcPr>
            <w:tcW w:w="1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jc w:val="center"/>
              <w:rPr>
                <w:b/>
                <w:b/>
                <w:bCs/>
                <w:sz w:val="20"/>
                <w:szCs w:val="20"/>
              </w:rPr>
            </w:pPr>
            <w:r>
              <w:rPr>
                <w:b/>
                <w:bCs/>
                <w:sz w:val="20"/>
                <w:szCs w:val="20"/>
              </w:rPr>
              <w:t> </w:t>
            </w:r>
          </w:p>
        </w:tc>
        <w:tc>
          <w:tcPr>
            <w:tcW w:w="10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5" w:type="dxa"/>
            </w:tcMar>
            <w:vAlign w:val="bottom"/>
          </w:tcPr>
          <w:p>
            <w:pPr>
              <w:pStyle w:val="Normal"/>
              <w:jc w:val="right"/>
              <w:rPr>
                <w:b/>
                <w:b/>
                <w:bCs/>
                <w:sz w:val="20"/>
                <w:szCs w:val="20"/>
              </w:rPr>
            </w:pPr>
            <w:r>
              <w:rPr>
                <w:b/>
                <w:bCs/>
                <w:sz w:val="20"/>
                <w:szCs w:val="20"/>
              </w:rPr>
            </w:r>
          </w:p>
          <w:p>
            <w:pPr>
              <w:pStyle w:val="Normal"/>
              <w:jc w:val="right"/>
              <w:rPr>
                <w:b/>
                <w:b/>
                <w:bCs/>
                <w:sz w:val="20"/>
                <w:szCs w:val="20"/>
              </w:rPr>
            </w:pPr>
            <w:r>
              <w:rPr>
                <w:b/>
                <w:bCs/>
                <w:sz w:val="20"/>
                <w:szCs w:val="20"/>
              </w:rPr>
            </w:r>
          </w:p>
        </w:tc>
      </w:tr>
    </w:tbl>
    <w:p>
      <w:pPr>
        <w:pStyle w:val="Normal"/>
        <w:ind w:left="294" w:right="0" w:hanging="0"/>
        <w:jc w:val="both"/>
        <w:rPr/>
      </w:pPr>
      <w:r>
        <w:rPr/>
      </w:r>
    </w:p>
    <w:p>
      <w:pPr>
        <w:pStyle w:val="Normal"/>
        <w:ind w:left="294" w:right="0" w:hanging="0"/>
        <w:jc w:val="both"/>
        <w:rPr/>
      </w:pPr>
      <w:r>
        <w:rPr/>
      </w:r>
    </w:p>
    <w:p>
      <w:pPr>
        <w:pStyle w:val="Normal"/>
        <w:ind w:left="294"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right="0" w:hanging="0"/>
        <w:jc w:val="both"/>
        <w:rPr/>
      </w:pPr>
      <w:r>
        <w:rPr/>
      </w:r>
    </w:p>
    <w:p>
      <w:pPr>
        <w:pStyle w:val="Normal"/>
        <w:ind w:left="1428" w:right="0" w:hanging="0"/>
        <w:jc w:val="both"/>
        <w:rPr/>
      </w:pPr>
      <w:r>
        <w:rPr>
          <w:b/>
        </w:rPr>
        <w:t>IV – ANNEXES</w:t>
      </w:r>
      <w:r>
        <w:rPr/>
        <w:t xml:space="preserve">  </w:t>
      </w:r>
    </w:p>
    <w:p>
      <w:pPr>
        <w:pStyle w:val="Normal"/>
        <w:ind w:left="294" w:right="0" w:hanging="0"/>
        <w:jc w:val="both"/>
        <w:rPr/>
      </w:pPr>
      <w:r>
        <w:rPr/>
      </w:r>
    </w:p>
    <w:p>
      <w:pPr>
        <w:pStyle w:val="Normal"/>
        <w:ind w:left="294" w:right="0" w:hanging="0"/>
        <w:rPr/>
      </w:pPr>
      <w:r>
        <w:rPr/>
        <w:t>Statuts d’</w:t>
      </w:r>
      <w:r>
        <w:rPr>
          <w:b/>
          <w:i/>
        </w:rPr>
        <w:t>ehs</w:t>
      </w:r>
    </w:p>
    <w:p>
      <w:pPr>
        <w:pStyle w:val="Normal"/>
        <w:ind w:left="294" w:right="0" w:hanging="0"/>
        <w:rPr/>
      </w:pPr>
      <w:r>
        <w:rPr/>
        <w:t>Délibération du Conseil d’Administration</w:t>
      </w:r>
    </w:p>
    <w:p>
      <w:pPr>
        <w:pStyle w:val="Normal"/>
        <w:ind w:left="294" w:right="0" w:hanging="0"/>
        <w:rPr/>
      </w:pPr>
      <w:r>
        <w:rPr/>
      </w:r>
    </w:p>
    <w:p>
      <w:pPr>
        <w:pStyle w:val="Normal"/>
        <w:ind w:left="294" w:right="0" w:hanging="0"/>
        <w:jc w:val="both"/>
        <w:rPr>
          <w:b/>
          <w:b/>
        </w:rPr>
      </w:pPr>
      <w:r>
        <w:rPr>
          <w:b/>
        </w:rPr>
        <w:t>A titre d’exemple :</w:t>
      </w:r>
    </w:p>
    <w:p>
      <w:pPr>
        <w:pStyle w:val="Normal"/>
        <w:ind w:left="294" w:right="0" w:hanging="0"/>
        <w:jc w:val="both"/>
        <w:rPr/>
      </w:pPr>
      <w:r>
        <w:rPr/>
        <w:t>Le contrat d’occupation</w:t>
      </w:r>
    </w:p>
    <w:p>
      <w:pPr>
        <w:pStyle w:val="Normal"/>
        <w:ind w:left="294" w:right="0" w:hanging="360"/>
        <w:jc w:val="both"/>
        <w:rPr/>
      </w:pPr>
      <w:r>
        <w:rPr/>
        <w:t xml:space="preserve">      </w:t>
      </w:r>
      <w:r>
        <w:rPr/>
        <w:t>Le règlement intérieur</w:t>
      </w:r>
    </w:p>
    <w:p>
      <w:pPr>
        <w:pStyle w:val="Normal"/>
        <w:ind w:left="294" w:right="0" w:hanging="360"/>
        <w:jc w:val="both"/>
        <w:rPr/>
      </w:pPr>
      <w:r>
        <w:rPr/>
      </w:r>
    </w:p>
    <w:p>
      <w:pPr>
        <w:pStyle w:val="Normal"/>
        <w:ind w:left="294" w:right="0" w:hanging="0"/>
        <w:jc w:val="both"/>
        <w:rPr/>
      </w:pPr>
      <w:r>
        <w:rPr/>
        <w:t xml:space="preserve">Décret 2018 portant sur les redevances maximales </w:t>
      </w:r>
    </w:p>
    <w:p>
      <w:pPr>
        <w:pStyle w:val="Normal"/>
        <w:ind w:left="294" w:right="0" w:hanging="0"/>
        <w:jc w:val="both"/>
        <w:rPr/>
      </w:pPr>
      <w:r>
        <w:rPr/>
        <w:t>Mail de l’office Hauts-de-Seine Habitat</w:t>
      </w:r>
    </w:p>
    <w:p>
      <w:pPr>
        <w:pStyle w:val="Normal"/>
        <w:ind w:left="294" w:right="0" w:hanging="0"/>
        <w:jc w:val="both"/>
        <w:rPr/>
      </w:pPr>
      <w:r>
        <w:rPr/>
      </w:r>
    </w:p>
    <w:p>
      <w:pPr>
        <w:pStyle w:val="Normal"/>
        <w:ind w:left="294" w:right="0" w:hanging="0"/>
        <w:rPr/>
      </w:pPr>
      <w:r>
        <w:rPr/>
        <w:t>Courrier de soutien de l’EPS Erasme</w:t>
      </w:r>
    </w:p>
    <w:p>
      <w:pPr>
        <w:pStyle w:val="Normal"/>
        <w:ind w:left="294" w:right="0" w:hanging="0"/>
        <w:jc w:val="both"/>
        <w:rPr/>
      </w:pPr>
      <w:r>
        <w:rPr/>
        <w:t>Conventions avec les médecins des résidents</w:t>
      </w:r>
    </w:p>
    <w:p>
      <w:pPr>
        <w:pStyle w:val="Normal"/>
        <w:ind w:left="294" w:right="0" w:hanging="0"/>
        <w:jc w:val="both"/>
        <w:rPr/>
      </w:pPr>
      <w:r>
        <w:rPr/>
        <w:t>Projet personnalisé de suivi en SAVS ou SAMSAH</w:t>
      </w:r>
    </w:p>
    <w:p>
      <w:pPr>
        <w:pStyle w:val="Normal"/>
        <w:ind w:left="294" w:right="0" w:hanging="0"/>
        <w:jc w:val="both"/>
        <w:rPr/>
      </w:pPr>
      <w:r>
        <w:rPr/>
      </w:r>
    </w:p>
    <w:p>
      <w:pPr>
        <w:pStyle w:val="Normal"/>
        <w:ind w:left="294" w:right="0" w:hanging="0"/>
        <w:jc w:val="both"/>
        <w:rPr/>
      </w:pPr>
      <w:r>
        <w:rPr/>
        <w:t>Plan des niveaux affectés à la résidence.</w:t>
      </w:r>
    </w:p>
    <w:p>
      <w:pPr>
        <w:pStyle w:val="Normal"/>
        <w:spacing w:lineRule="auto" w:line="276" w:before="0" w:after="200"/>
        <w:rPr/>
      </w:pPr>
      <w:r>
        <w:rPr/>
        <w:drawing>
          <wp:inline distT="0" distB="0" distL="0" distR="0">
            <wp:extent cx="5760085" cy="8177530"/>
            <wp:effectExtent l="0" t="0" r="0" b="0"/>
            <wp:docPr id="6" name="Image 17" descr="C:\Users\MK\Desktop\statuts adoptés ag 19 06 2015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7" descr="C:\Users\MK\Desktop\statuts adoptés ag 19 06 2015_Page_01.jpg"/>
                    <pic:cNvPicPr>
                      <a:picLocks noChangeAspect="1" noChangeArrowheads="1"/>
                    </pic:cNvPicPr>
                  </pic:nvPicPr>
                  <pic:blipFill>
                    <a:blip r:embed="rId5"/>
                    <a:stretch>
                      <a:fillRect/>
                    </a:stretch>
                  </pic:blipFill>
                  <pic:spPr bwMode="auto">
                    <a:xfrm>
                      <a:off x="0" y="0"/>
                      <a:ext cx="5760085" cy="8177530"/>
                    </a:xfrm>
                    <a:prstGeom prst="rect">
                      <a:avLst/>
                    </a:prstGeom>
                  </pic:spPr>
                </pic:pic>
              </a:graphicData>
            </a:graphic>
          </wp:inline>
        </w:drawing>
      </w:r>
      <w:r>
        <w:br w:type="page"/>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7" name="Image 18" descr="C:\Users\MK\Desktop\statuts adoptés ag 19 06 2015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8" descr="C:\Users\MK\Desktop\statuts adoptés ag 19 06 2015_Page_02.jpg"/>
                    <pic:cNvPicPr>
                      <a:picLocks noChangeAspect="1" noChangeArrowheads="1"/>
                    </pic:cNvPicPr>
                  </pic:nvPicPr>
                  <pic:blipFill>
                    <a:blip r:embed="rId6"/>
                    <a:stretch>
                      <a:fillRect/>
                    </a:stretch>
                  </pic:blipFill>
                  <pic:spPr bwMode="auto">
                    <a:xfrm>
                      <a:off x="0" y="0"/>
                      <a:ext cx="5760085" cy="8177530"/>
                    </a:xfrm>
                    <a:prstGeom prst="rect">
                      <a:avLst/>
                    </a:prstGeom>
                  </pic:spPr>
                </pic:pic>
              </a:graphicData>
            </a:graphic>
          </wp:inline>
        </w:drawing>
      </w:r>
      <w:r>
        <w:br w:type="page"/>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8" name="Image 19" descr="C:\Users\MK\Desktop\statuts adoptés ag 19 06 2015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9" descr="C:\Users\MK\Desktop\statuts adoptés ag 19 06 2015_Page_03.jpg"/>
                    <pic:cNvPicPr>
                      <a:picLocks noChangeAspect="1" noChangeArrowheads="1"/>
                    </pic:cNvPicPr>
                  </pic:nvPicPr>
                  <pic:blipFill>
                    <a:blip r:embed="rId7"/>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9" name="Image 20" descr="C:\Users\MK\Desktop\statuts adoptés ag 19 06 2015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20" descr="C:\Users\MK\Desktop\statuts adoptés ag 19 06 2015_Page_04.jpg"/>
                    <pic:cNvPicPr>
                      <a:picLocks noChangeAspect="1" noChangeArrowheads="1"/>
                    </pic:cNvPicPr>
                  </pic:nvPicPr>
                  <pic:blipFill>
                    <a:blip r:embed="rId8"/>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0" name="Image 21" descr="C:\Users\MK\Desktop\statuts adoptés ag 19 06 2015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21" descr="C:\Users\MK\Desktop\statuts adoptés ag 19 06 2015_Page_05.jpg"/>
                    <pic:cNvPicPr>
                      <a:picLocks noChangeAspect="1" noChangeArrowheads="1"/>
                    </pic:cNvPicPr>
                  </pic:nvPicPr>
                  <pic:blipFill>
                    <a:blip r:embed="rId9"/>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1" name="Image 22" descr="C:\Users\MK\Desktop\statuts adoptés ag 19 06 2015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22" descr="C:\Users\MK\Desktop\statuts adoptés ag 19 06 2015_Page_06.jpg"/>
                    <pic:cNvPicPr>
                      <a:picLocks noChangeAspect="1" noChangeArrowheads="1"/>
                    </pic:cNvPicPr>
                  </pic:nvPicPr>
                  <pic:blipFill>
                    <a:blip r:embed="rId10"/>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2" name="Image 23" descr="C:\Users\MK\Desktop\statuts adoptés ag 19 06 2015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23" descr="C:\Users\MK\Desktop\statuts adoptés ag 19 06 2015_Page_07.jpg"/>
                    <pic:cNvPicPr>
                      <a:picLocks noChangeAspect="1" noChangeArrowheads="1"/>
                    </pic:cNvPicPr>
                  </pic:nvPicPr>
                  <pic:blipFill>
                    <a:blip r:embed="rId11"/>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3" name="Image 24" descr="C:\Users\MK\Desktop\statuts adoptés ag 19 06 2015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24" descr="C:\Users\MK\Desktop\statuts adoptés ag 19 06 2015_Page_08.jpg"/>
                    <pic:cNvPicPr>
                      <a:picLocks noChangeAspect="1" noChangeArrowheads="1"/>
                    </pic:cNvPicPr>
                  </pic:nvPicPr>
                  <pic:blipFill>
                    <a:blip r:embed="rId12"/>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4" name="Image 25" descr="C:\Users\MK\Desktop\statuts adoptés ag 19 06 2015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25" descr="C:\Users\MK\Desktop\statuts adoptés ag 19 06 2015_Page_09.jpg"/>
                    <pic:cNvPicPr>
                      <a:picLocks noChangeAspect="1" noChangeArrowheads="1"/>
                    </pic:cNvPicPr>
                  </pic:nvPicPr>
                  <pic:blipFill>
                    <a:blip r:embed="rId13"/>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5" name="Image 26" descr="C:\Users\MK\Desktop\statuts adoptés ag 19 06 2015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26" descr="C:\Users\MK\Desktop\statuts adoptés ag 19 06 2015_Page_10.jpg"/>
                    <pic:cNvPicPr>
                      <a:picLocks noChangeAspect="1" noChangeArrowheads="1"/>
                    </pic:cNvPicPr>
                  </pic:nvPicPr>
                  <pic:blipFill>
                    <a:blip r:embed="rId14"/>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drawing>
          <wp:inline distT="0" distB="0" distL="0" distR="0">
            <wp:extent cx="5760085" cy="8177530"/>
            <wp:effectExtent l="0" t="0" r="0" b="0"/>
            <wp:docPr id="16" name="Image 7" descr="C:\Users\MK\Desktop\projet suresnes\DOCS SAVS\CONTRAT OCCUPATION_Page_1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7" descr="C:\Users\MK\Desktop\projet suresnes\DOCS SAVS\CONTRAT OCCUPATION_Page_1_Image_0001.jpg"/>
                    <pic:cNvPicPr>
                      <a:picLocks noChangeAspect="1" noChangeArrowheads="1"/>
                    </pic:cNvPicPr>
                  </pic:nvPicPr>
                  <pic:blipFill>
                    <a:blip r:embed="rId15"/>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7" name="Image 8" descr="C:\Users\MK\Desktop\projet suresnes\DOCS SAVS\CONTRAT OCCUPATION_Page_2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8" descr="C:\Users\MK\Desktop\projet suresnes\DOCS SAVS\CONTRAT OCCUPATION_Page_2_Image_0001.jpg"/>
                    <pic:cNvPicPr>
                      <a:picLocks noChangeAspect="1" noChangeArrowheads="1"/>
                    </pic:cNvPicPr>
                  </pic:nvPicPr>
                  <pic:blipFill>
                    <a:blip r:embed="rId16"/>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8" name="Image 9" descr="C:\Users\MK\Desktop\projet suresnes\DOCS SAVS\CONTRAT OCCUPATION_Page_3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9" descr="C:\Users\MK\Desktop\projet suresnes\DOCS SAVS\CONTRAT OCCUPATION_Page_3_Image_0001.jpg"/>
                    <pic:cNvPicPr>
                      <a:picLocks noChangeAspect="1" noChangeArrowheads="1"/>
                    </pic:cNvPicPr>
                  </pic:nvPicPr>
                  <pic:blipFill>
                    <a:blip r:embed="rId17"/>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19" name="Image 11" descr="C:\Users\MK\Desktop\projet suresnes\DOCS SAVS\CONTRAT OCCUPATION_Page_4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1" descr="C:\Users\MK\Desktop\projet suresnes\DOCS SAVS\CONTRAT OCCUPATION_Page_4_Image_0001.jpg"/>
                    <pic:cNvPicPr>
                      <a:picLocks noChangeAspect="1" noChangeArrowheads="1"/>
                    </pic:cNvPicPr>
                  </pic:nvPicPr>
                  <pic:blipFill>
                    <a:blip r:embed="rId18"/>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20" name="Image 13" descr="C:\Users\MK\Desktop\projet suresnes\DOCS SAVS\CONTRAT OCCUPATION_Page_5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3" descr="C:\Users\MK\Desktop\projet suresnes\DOCS SAVS\CONTRAT OCCUPATION_Page_5_Image_0001.jpg"/>
                    <pic:cNvPicPr>
                      <a:picLocks noChangeAspect="1" noChangeArrowheads="1"/>
                    </pic:cNvPicPr>
                  </pic:nvPicPr>
                  <pic:blipFill>
                    <a:blip r:embed="rId19"/>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21" name="Image 14" descr="C:\Users\MK\Desktop\projet suresnes\DOCS SAVS\CONTRAT OCCUPATION_Page_6_Imag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4" descr="C:\Users\MK\Desktop\projet suresnes\DOCS SAVS\CONTRAT OCCUPATION_Page_6_Image_0001.jpg"/>
                    <pic:cNvPicPr>
                      <a:picLocks noChangeAspect="1" noChangeArrowheads="1"/>
                    </pic:cNvPicPr>
                  </pic:nvPicPr>
                  <pic:blipFill>
                    <a:blip r:embed="rId20"/>
                    <a:stretch>
                      <a:fillRect/>
                    </a:stretch>
                  </pic:blipFill>
                  <pic:spPr bwMode="auto">
                    <a:xfrm>
                      <a:off x="0" y="0"/>
                      <a:ext cx="5760085" cy="8177530"/>
                    </a:xfrm>
                    <a:prstGeom prst="rect">
                      <a:avLst/>
                    </a:prstGeom>
                  </pic:spPr>
                </pic:pic>
              </a:graphicData>
            </a:graphic>
          </wp:inline>
        </w:drawing>
      </w:r>
    </w:p>
    <w:p>
      <w:pPr>
        <w:pStyle w:val="Titre1"/>
        <w:spacing w:lineRule="auto" w:line="247" w:before="175" w:after="0"/>
        <w:ind w:left="2947" w:right="0" w:hanging="2254"/>
        <w:rPr>
          <w:color w:val="2A2A2D"/>
          <w:w w:val="105"/>
          <w:sz w:val="22"/>
          <w:szCs w:val="22"/>
        </w:rPr>
      </w:pPr>
      <w:r>
        <w:rPr>
          <w:color w:val="2A2A2D"/>
          <w:w w:val="105"/>
          <w:sz w:val="22"/>
          <w:szCs w:val="22"/>
        </w:rPr>
      </w:r>
    </w:p>
    <w:p>
      <w:pPr>
        <w:pStyle w:val="Normal"/>
        <w:rPr>
          <w:b/>
          <w:b/>
          <w:bCs/>
        </w:rPr>
      </w:pPr>
      <w:r>
        <w:rPr>
          <w:b/>
          <w:bCs/>
        </w:rPr>
      </w:r>
    </w:p>
    <w:p>
      <w:pPr>
        <w:pStyle w:val="Normal"/>
        <w:jc w:val="center"/>
        <w:rPr>
          <w:b/>
          <w:b/>
          <w:bCs/>
        </w:rPr>
      </w:pPr>
      <w:r>
        <w:rPr>
          <w:b/>
          <w:bCs/>
        </w:rPr>
      </w:r>
    </w:p>
    <w:p>
      <w:pPr>
        <w:pStyle w:val="Normal"/>
        <w:jc w:val="center"/>
        <w:rPr>
          <w:b/>
          <w:b/>
          <w:bCs/>
        </w:rPr>
      </w:pPr>
      <w:r>
        <w:rPr>
          <w:b/>
          <w:bCs/>
        </w:rPr>
        <w:t>REGLEMENT INTERIEUR DE LA RESIDENCE ACCUEIL DE SURESNES</w:t>
      </w:r>
    </w:p>
    <w:p>
      <w:pPr>
        <w:pStyle w:val="Normal"/>
        <w:jc w:val="center"/>
        <w:rPr/>
      </w:pPr>
      <w:r>
        <w:rPr>
          <w:b/>
          <w:bCs/>
        </w:rPr>
        <w:t>ESPERANCE HAUTS DE SEINE</w:t>
      </w:r>
    </w:p>
    <w:p>
      <w:pPr>
        <w:pStyle w:val="Normal"/>
        <w:jc w:val="center"/>
        <w:rPr/>
      </w:pPr>
      <w:r>
        <w:rPr/>
      </w:r>
    </w:p>
    <w:p>
      <w:pPr>
        <w:pStyle w:val="Normal"/>
        <w:jc w:val="both"/>
        <w:rPr>
          <w:b/>
          <w:b/>
          <w:bCs/>
          <w:sz w:val="20"/>
          <w:szCs w:val="20"/>
        </w:rPr>
      </w:pPr>
      <w:r>
        <w:rPr>
          <w:b/>
          <w:bCs/>
          <w:sz w:val="20"/>
          <w:szCs w:val="20"/>
        </w:rPr>
        <w:t>Article 1 - validité :</w:t>
      </w:r>
    </w:p>
    <w:p>
      <w:pPr>
        <w:pStyle w:val="Normal"/>
        <w:jc w:val="both"/>
        <w:rPr>
          <w:sz w:val="20"/>
          <w:szCs w:val="20"/>
        </w:rPr>
      </w:pPr>
      <w:r>
        <w:rPr>
          <w:sz w:val="20"/>
          <w:szCs w:val="20"/>
        </w:rPr>
        <w:t>Le présent règlement est une annexe du contrat de location et est valable sans limite de durée.</w:t>
      </w:r>
    </w:p>
    <w:p>
      <w:pPr>
        <w:pStyle w:val="Normal"/>
        <w:jc w:val="both"/>
        <w:rPr>
          <w:sz w:val="20"/>
          <w:szCs w:val="20"/>
        </w:rPr>
      </w:pPr>
      <w:r>
        <w:rPr>
          <w:sz w:val="20"/>
          <w:szCs w:val="20"/>
        </w:rPr>
        <w:t>Il peut être révisé sans remettre en cause sa validité. Dans ce cas, les modifications sont communiquées au résidant par lettre recommandée ou contre décharge.</w:t>
      </w:r>
    </w:p>
    <w:p>
      <w:pPr>
        <w:pStyle w:val="Normal"/>
        <w:jc w:val="center"/>
        <w:rPr>
          <w:b/>
          <w:b/>
          <w:bCs/>
          <w:sz w:val="20"/>
          <w:szCs w:val="20"/>
        </w:rPr>
      </w:pPr>
      <w:r>
        <w:rPr>
          <w:b/>
          <w:bCs/>
          <w:sz w:val="20"/>
          <w:szCs w:val="20"/>
        </w:rPr>
      </w:r>
    </w:p>
    <w:p>
      <w:pPr>
        <w:pStyle w:val="Normal"/>
        <w:jc w:val="both"/>
        <w:rPr>
          <w:sz w:val="20"/>
          <w:szCs w:val="20"/>
        </w:rPr>
      </w:pPr>
      <w:r>
        <w:rPr>
          <w:b/>
          <w:bCs/>
          <w:sz w:val="20"/>
          <w:szCs w:val="20"/>
        </w:rPr>
        <w:t>Article 2 - titre d’occupation :</w:t>
      </w:r>
    </w:p>
    <w:p>
      <w:pPr>
        <w:pStyle w:val="Normal"/>
        <w:jc w:val="both"/>
        <w:rPr>
          <w:sz w:val="20"/>
          <w:szCs w:val="20"/>
        </w:rPr>
      </w:pPr>
      <w:r>
        <w:rPr>
          <w:sz w:val="20"/>
          <w:szCs w:val="20"/>
        </w:rPr>
        <w:t>Conformément à l’article L 633-2 du CCH, toute personne logée à titre de résidence principale dans une résidence sociale doit être titulaire d’un titre ou contrat d’occupation écrit et cosigné par elle et le gestionnaire.</w:t>
      </w:r>
    </w:p>
    <w:p>
      <w:pPr>
        <w:pStyle w:val="Normal"/>
        <w:jc w:val="both"/>
        <w:rPr>
          <w:sz w:val="20"/>
          <w:szCs w:val="20"/>
        </w:rPr>
      </w:pPr>
      <w:r>
        <w:rPr>
          <w:sz w:val="20"/>
          <w:szCs w:val="20"/>
        </w:rPr>
        <w:t>Ce contrat doit préciser :</w:t>
      </w:r>
    </w:p>
    <w:p>
      <w:pPr>
        <w:pStyle w:val="Normal"/>
        <w:numPr>
          <w:ilvl w:val="0"/>
          <w:numId w:val="3"/>
        </w:numPr>
        <w:tabs>
          <w:tab w:val="clear" w:pos="708"/>
          <w:tab w:val="left" w:pos="720" w:leader="none"/>
        </w:tabs>
        <w:ind w:left="720" w:hanging="360"/>
        <w:jc w:val="both"/>
        <w:rPr>
          <w:sz w:val="20"/>
          <w:szCs w:val="20"/>
        </w:rPr>
      </w:pPr>
      <w:r>
        <w:rPr>
          <w:sz w:val="20"/>
          <w:szCs w:val="20"/>
        </w:rPr>
        <w:t>sa date de prise d’effet, ses modalités et conditions de résiliation ;</w:t>
      </w:r>
    </w:p>
    <w:p>
      <w:pPr>
        <w:pStyle w:val="Normal"/>
        <w:numPr>
          <w:ilvl w:val="0"/>
          <w:numId w:val="3"/>
        </w:numPr>
        <w:tabs>
          <w:tab w:val="clear" w:pos="708"/>
          <w:tab w:val="left" w:pos="720" w:leader="none"/>
        </w:tabs>
        <w:ind w:left="720" w:hanging="360"/>
        <w:jc w:val="both"/>
        <w:rPr>
          <w:sz w:val="20"/>
          <w:szCs w:val="20"/>
        </w:rPr>
      </w:pPr>
      <w:r>
        <w:rPr>
          <w:sz w:val="20"/>
          <w:szCs w:val="20"/>
        </w:rPr>
        <w:t>le montant de la redevance et l’énumération des prestations comprises dans ce prix ;</w:t>
      </w:r>
    </w:p>
    <w:p>
      <w:pPr>
        <w:pStyle w:val="Normal"/>
        <w:numPr>
          <w:ilvl w:val="0"/>
          <w:numId w:val="3"/>
        </w:numPr>
        <w:tabs>
          <w:tab w:val="clear" w:pos="708"/>
          <w:tab w:val="left" w:pos="720" w:leader="none"/>
        </w:tabs>
        <w:ind w:left="720" w:hanging="360"/>
        <w:jc w:val="both"/>
        <w:rPr>
          <w:sz w:val="20"/>
          <w:szCs w:val="20"/>
        </w:rPr>
      </w:pPr>
      <w:r>
        <w:rPr>
          <w:sz w:val="20"/>
          <w:szCs w:val="20"/>
        </w:rPr>
        <w:t>les prestations annexes proposées et leur prix ;</w:t>
      </w:r>
    </w:p>
    <w:p>
      <w:pPr>
        <w:pStyle w:val="Normal"/>
        <w:numPr>
          <w:ilvl w:val="0"/>
          <w:numId w:val="3"/>
        </w:numPr>
        <w:tabs>
          <w:tab w:val="clear" w:pos="708"/>
          <w:tab w:val="left" w:pos="720" w:leader="none"/>
        </w:tabs>
        <w:ind w:left="720" w:hanging="360"/>
        <w:jc w:val="both"/>
        <w:rPr>
          <w:sz w:val="20"/>
          <w:szCs w:val="20"/>
        </w:rPr>
      </w:pPr>
      <w:r>
        <w:rPr>
          <w:sz w:val="20"/>
          <w:szCs w:val="20"/>
        </w:rPr>
        <w:t>le montant du dépôt de garantie ;</w:t>
      </w:r>
    </w:p>
    <w:p>
      <w:pPr>
        <w:pStyle w:val="Normal"/>
        <w:numPr>
          <w:ilvl w:val="0"/>
          <w:numId w:val="3"/>
        </w:numPr>
        <w:tabs>
          <w:tab w:val="clear" w:pos="708"/>
          <w:tab w:val="left" w:pos="720" w:leader="none"/>
        </w:tabs>
        <w:ind w:left="720" w:hanging="360"/>
        <w:jc w:val="both"/>
        <w:rPr>
          <w:sz w:val="20"/>
          <w:szCs w:val="20"/>
        </w:rPr>
      </w:pPr>
      <w:r>
        <w:rPr>
          <w:sz w:val="20"/>
          <w:szCs w:val="20"/>
        </w:rPr>
        <w:t>la désignation des locaux et équipements à usage privatif dont l’occupant à jouissance ainsi que les espaces collectifs mis à sa disposition ainsi que leur destination.</w:t>
      </w:r>
    </w:p>
    <w:p>
      <w:pPr>
        <w:pStyle w:val="Normal"/>
        <w:jc w:val="both"/>
        <w:rPr>
          <w:sz w:val="20"/>
          <w:szCs w:val="20"/>
        </w:rPr>
      </w:pPr>
      <w:r>
        <w:rPr>
          <w:sz w:val="20"/>
          <w:szCs w:val="20"/>
        </w:rPr>
        <w:t>La signature de ce contrat emporte l’adhésion au règlement intérieur de l’établissement, lequel est annexé au contrat.</w:t>
      </w:r>
    </w:p>
    <w:p>
      <w:pPr>
        <w:pStyle w:val="Normal"/>
        <w:jc w:val="both"/>
        <w:rPr>
          <w:sz w:val="20"/>
          <w:szCs w:val="20"/>
        </w:rPr>
      </w:pPr>
      <w:r>
        <w:rPr>
          <w:sz w:val="20"/>
          <w:szCs w:val="20"/>
        </w:rPr>
      </w:r>
    </w:p>
    <w:p>
      <w:pPr>
        <w:pStyle w:val="Normal"/>
        <w:jc w:val="both"/>
        <w:rPr>
          <w:b/>
          <w:b/>
          <w:bCs/>
          <w:sz w:val="20"/>
          <w:szCs w:val="20"/>
        </w:rPr>
      </w:pPr>
      <w:r>
        <w:rPr>
          <w:b/>
          <w:bCs/>
          <w:sz w:val="20"/>
          <w:szCs w:val="20"/>
        </w:rPr>
        <w:t>Article 3 – durée du titre d’occupation :</w:t>
      </w:r>
    </w:p>
    <w:p>
      <w:pPr>
        <w:pStyle w:val="Normal"/>
        <w:jc w:val="both"/>
        <w:rPr>
          <w:sz w:val="20"/>
          <w:szCs w:val="20"/>
        </w:rPr>
      </w:pPr>
      <w:r>
        <w:rPr>
          <w:sz w:val="20"/>
          <w:szCs w:val="20"/>
        </w:rPr>
        <w:t>Le titre d’occupation est conclu pour une durée d’un mois renouvelable par tacite reconduction à la seule volonté de la personne logée.</w:t>
      </w:r>
    </w:p>
    <w:p>
      <w:pPr>
        <w:pStyle w:val="Normal"/>
        <w:jc w:val="both"/>
        <w:rPr>
          <w:sz w:val="20"/>
          <w:szCs w:val="20"/>
        </w:rPr>
      </w:pPr>
      <w:r>
        <w:rPr>
          <w:sz w:val="20"/>
          <w:szCs w:val="20"/>
        </w:rPr>
        <w:t>Le gestionnaire ne peut s’opposer à cette tacite reconduction tant que le résident respecte ses obligations contractuelles, remplit les conditions spécifiques d’accueil et d’admission fixées dans le contrat (âge, type de  fragilité, ressources, situation familiale…) et que son comportement dans la résidence reste compatible avec la jouissance d’un logement privatif personnel et les relations sociales ou de voisinage avec les autres locataires.</w:t>
      </w:r>
    </w:p>
    <w:p>
      <w:pPr>
        <w:pStyle w:val="Normal"/>
        <w:jc w:val="both"/>
        <w:rPr>
          <w:sz w:val="20"/>
          <w:szCs w:val="20"/>
        </w:rPr>
      </w:pPr>
      <w:r>
        <w:rPr>
          <w:sz w:val="20"/>
          <w:szCs w:val="20"/>
        </w:rPr>
      </w:r>
    </w:p>
    <w:p>
      <w:pPr>
        <w:pStyle w:val="Normal"/>
        <w:jc w:val="both"/>
        <w:rPr>
          <w:sz w:val="20"/>
          <w:szCs w:val="20"/>
        </w:rPr>
      </w:pPr>
      <w:r>
        <w:rPr>
          <w:b/>
          <w:bCs/>
          <w:sz w:val="20"/>
          <w:szCs w:val="20"/>
        </w:rPr>
        <w:t>Article 4 – assurances :</w:t>
      </w:r>
    </w:p>
    <w:p>
      <w:pPr>
        <w:pStyle w:val="Normal"/>
        <w:jc w:val="both"/>
        <w:rPr>
          <w:sz w:val="20"/>
          <w:szCs w:val="20"/>
        </w:rPr>
      </w:pPr>
      <w:r>
        <w:rPr>
          <w:sz w:val="20"/>
          <w:szCs w:val="20"/>
        </w:rPr>
        <w:t>L’assurance habitation est obligatoire. Le résident a obligation de remettre avant l’entrée dans le logement et lors de chaque renouvellement une attestation de sa souscription.</w:t>
      </w:r>
    </w:p>
    <w:p>
      <w:pPr>
        <w:pStyle w:val="Normal"/>
        <w:jc w:val="both"/>
        <w:rPr>
          <w:sz w:val="20"/>
          <w:szCs w:val="20"/>
        </w:rPr>
      </w:pPr>
      <w:r>
        <w:rPr>
          <w:sz w:val="20"/>
          <w:szCs w:val="20"/>
        </w:rPr>
        <w:t>De son coté, le gestionnaire est assuré à la compagnie ….  pour les risques habitation.</w:t>
      </w:r>
    </w:p>
    <w:p>
      <w:pPr>
        <w:pStyle w:val="Normal"/>
        <w:jc w:val="both"/>
        <w:rPr>
          <w:sz w:val="20"/>
          <w:szCs w:val="20"/>
        </w:rPr>
      </w:pPr>
      <w:r>
        <w:rPr>
          <w:sz w:val="20"/>
          <w:szCs w:val="20"/>
        </w:rPr>
      </w:r>
    </w:p>
    <w:p>
      <w:pPr>
        <w:pStyle w:val="Normal"/>
        <w:jc w:val="both"/>
        <w:rPr>
          <w:sz w:val="20"/>
          <w:szCs w:val="20"/>
        </w:rPr>
      </w:pPr>
      <w:r>
        <w:rPr>
          <w:b/>
          <w:bCs/>
          <w:sz w:val="20"/>
          <w:szCs w:val="20"/>
        </w:rPr>
        <w:t>Article 5 – le résident :</w:t>
      </w:r>
    </w:p>
    <w:p>
      <w:pPr>
        <w:pStyle w:val="Normal"/>
        <w:jc w:val="both"/>
        <w:rPr>
          <w:sz w:val="20"/>
          <w:szCs w:val="20"/>
        </w:rPr>
      </w:pPr>
      <w:r>
        <w:rPr>
          <w:sz w:val="20"/>
          <w:szCs w:val="20"/>
        </w:rPr>
        <w:t>Le résidant est le détenteur du titre d’occupation. En aucun cas, sauf autorisation formelle du gestionnaire, il ne pourra prétendre à héberger quelque personne à titre onéreux ou gratuit.</w:t>
      </w:r>
    </w:p>
    <w:p>
      <w:pPr>
        <w:pStyle w:val="Normal"/>
        <w:jc w:val="both"/>
        <w:rPr>
          <w:sz w:val="20"/>
          <w:szCs w:val="20"/>
        </w:rPr>
      </w:pPr>
      <w:r>
        <w:rPr>
          <w:sz w:val="20"/>
          <w:szCs w:val="20"/>
        </w:rPr>
      </w:r>
    </w:p>
    <w:p>
      <w:pPr>
        <w:pStyle w:val="Normal"/>
        <w:jc w:val="both"/>
        <w:rPr>
          <w:sz w:val="20"/>
          <w:szCs w:val="20"/>
        </w:rPr>
      </w:pPr>
      <w:r>
        <w:rPr>
          <w:sz w:val="20"/>
          <w:szCs w:val="20"/>
        </w:rPr>
      </w:r>
    </w:p>
    <w:p>
      <w:pPr>
        <w:pStyle w:val="Normal"/>
        <w:jc w:val="both"/>
        <w:rPr>
          <w:sz w:val="20"/>
          <w:szCs w:val="20"/>
        </w:rPr>
      </w:pPr>
      <w:r>
        <w:rPr>
          <w:sz w:val="20"/>
          <w:szCs w:val="20"/>
        </w:rPr>
        <w:t xml:space="preserve"> </w:t>
      </w:r>
      <w:r>
        <w:rPr>
          <w:b/>
          <w:bCs/>
          <w:sz w:val="20"/>
          <w:szCs w:val="20"/>
        </w:rPr>
        <w:t>Article 6 – règlement de la redevance :</w:t>
      </w:r>
    </w:p>
    <w:p>
      <w:pPr>
        <w:pStyle w:val="Normal"/>
        <w:jc w:val="both"/>
        <w:rPr>
          <w:sz w:val="20"/>
          <w:szCs w:val="20"/>
        </w:rPr>
      </w:pPr>
      <w:r>
        <w:rPr>
          <w:sz w:val="20"/>
          <w:szCs w:val="20"/>
        </w:rPr>
        <w:t>La redevance se règle au plus tard le 10 du mois suivant par virement, chèque ou espèces.</w:t>
      </w:r>
    </w:p>
    <w:p>
      <w:pPr>
        <w:pStyle w:val="Normal"/>
        <w:jc w:val="both"/>
        <w:rPr>
          <w:sz w:val="20"/>
          <w:szCs w:val="20"/>
        </w:rPr>
      </w:pPr>
      <w:r>
        <w:rPr>
          <w:sz w:val="20"/>
          <w:szCs w:val="20"/>
        </w:rPr>
        <w:t>Dans ces deux cas il est délivré une quittance de loyer et un reçu.</w:t>
      </w:r>
    </w:p>
    <w:p>
      <w:pPr>
        <w:pStyle w:val="Normal"/>
        <w:jc w:val="both"/>
        <w:rPr>
          <w:sz w:val="20"/>
          <w:szCs w:val="20"/>
        </w:rPr>
      </w:pPr>
      <w:r>
        <w:rPr>
          <w:sz w:val="20"/>
          <w:szCs w:val="20"/>
        </w:rPr>
        <w:t>En cas d’absence, le règlement sera adressé par courrier dans les mêmes termes.</w:t>
      </w:r>
    </w:p>
    <w:p>
      <w:pPr>
        <w:pStyle w:val="Normal"/>
        <w:jc w:val="both"/>
        <w:rPr>
          <w:sz w:val="20"/>
          <w:szCs w:val="20"/>
        </w:rPr>
      </w:pPr>
      <w:r>
        <w:rPr>
          <w:sz w:val="20"/>
          <w:szCs w:val="20"/>
        </w:rPr>
      </w:r>
    </w:p>
    <w:p>
      <w:pPr>
        <w:pStyle w:val="Normal"/>
        <w:jc w:val="both"/>
        <w:rPr>
          <w:sz w:val="20"/>
          <w:szCs w:val="20"/>
        </w:rPr>
      </w:pPr>
      <w:r>
        <w:rPr>
          <w:sz w:val="20"/>
          <w:szCs w:val="20"/>
        </w:rPr>
      </w:r>
    </w:p>
    <w:p>
      <w:pPr>
        <w:pStyle w:val="Normal"/>
        <w:jc w:val="both"/>
        <w:rPr>
          <w:b/>
          <w:b/>
          <w:bCs/>
          <w:sz w:val="20"/>
          <w:szCs w:val="20"/>
        </w:rPr>
      </w:pPr>
      <w:r>
        <w:rPr>
          <w:b/>
          <w:bCs/>
          <w:sz w:val="20"/>
          <w:szCs w:val="20"/>
        </w:rPr>
        <w:t>Article 7 – clefs :</w:t>
      </w:r>
    </w:p>
    <w:p>
      <w:pPr>
        <w:pStyle w:val="Normal"/>
        <w:jc w:val="both"/>
        <w:rPr>
          <w:sz w:val="20"/>
          <w:szCs w:val="20"/>
        </w:rPr>
      </w:pPr>
      <w:r>
        <w:rPr>
          <w:sz w:val="20"/>
          <w:szCs w:val="20"/>
        </w:rPr>
        <w:t>A son entrée dans le logement, le résident reçoit un exemplaire des clefs de :</w:t>
      </w:r>
    </w:p>
    <w:p>
      <w:pPr>
        <w:pStyle w:val="Normal"/>
        <w:numPr>
          <w:ilvl w:val="0"/>
          <w:numId w:val="3"/>
        </w:numPr>
        <w:tabs>
          <w:tab w:val="clear" w:pos="708"/>
          <w:tab w:val="left" w:pos="720" w:leader="none"/>
        </w:tabs>
        <w:ind w:left="720" w:hanging="360"/>
        <w:jc w:val="both"/>
        <w:rPr>
          <w:sz w:val="20"/>
          <w:szCs w:val="20"/>
        </w:rPr>
      </w:pPr>
      <w:r>
        <w:rPr>
          <w:sz w:val="20"/>
          <w:szCs w:val="20"/>
        </w:rPr>
        <w:t>entrée</w:t>
      </w:r>
    </w:p>
    <w:p>
      <w:pPr>
        <w:pStyle w:val="Normal"/>
        <w:numPr>
          <w:ilvl w:val="0"/>
          <w:numId w:val="3"/>
        </w:numPr>
        <w:tabs>
          <w:tab w:val="clear" w:pos="708"/>
          <w:tab w:val="left" w:pos="720" w:leader="none"/>
        </w:tabs>
        <w:ind w:left="720" w:hanging="360"/>
        <w:jc w:val="both"/>
        <w:rPr>
          <w:sz w:val="20"/>
          <w:szCs w:val="20"/>
        </w:rPr>
      </w:pPr>
      <w:r>
        <w:rPr>
          <w:sz w:val="20"/>
          <w:szCs w:val="20"/>
        </w:rPr>
        <w:t>appartement</w:t>
      </w:r>
    </w:p>
    <w:p>
      <w:pPr>
        <w:pStyle w:val="Normal"/>
        <w:numPr>
          <w:ilvl w:val="0"/>
          <w:numId w:val="3"/>
        </w:numPr>
        <w:tabs>
          <w:tab w:val="clear" w:pos="708"/>
          <w:tab w:val="left" w:pos="720" w:leader="none"/>
        </w:tabs>
        <w:ind w:left="720" w:hanging="360"/>
        <w:jc w:val="both"/>
        <w:rPr>
          <w:sz w:val="20"/>
          <w:szCs w:val="20"/>
        </w:rPr>
      </w:pPr>
      <w:r>
        <w:rPr>
          <w:sz w:val="20"/>
          <w:szCs w:val="20"/>
        </w:rPr>
        <w:t>boite aux lettres…</w:t>
      </w:r>
    </w:p>
    <w:p>
      <w:pPr>
        <w:pStyle w:val="Normal"/>
        <w:jc w:val="both"/>
        <w:rPr>
          <w:sz w:val="20"/>
          <w:szCs w:val="20"/>
        </w:rPr>
      </w:pPr>
      <w:r>
        <w:rPr>
          <w:sz w:val="20"/>
          <w:szCs w:val="20"/>
        </w:rPr>
        <w:t>En cas de perte, ces clefs seront refaites aux frais du résidant.</w:t>
      </w:r>
    </w:p>
    <w:p>
      <w:pPr>
        <w:pStyle w:val="Normal"/>
        <w:jc w:val="both"/>
        <w:rPr>
          <w:sz w:val="20"/>
          <w:szCs w:val="20"/>
        </w:rPr>
      </w:pPr>
      <w:r>
        <w:rPr>
          <w:sz w:val="20"/>
          <w:szCs w:val="20"/>
        </w:rPr>
        <w:t>Le résident prend le plus grand soin de fermer la porte de son logement pour assurer sa sûreté et sa sécurité.</w:t>
      </w:r>
    </w:p>
    <w:p>
      <w:pPr>
        <w:pStyle w:val="Normal"/>
        <w:jc w:val="both"/>
        <w:rPr>
          <w:sz w:val="20"/>
          <w:szCs w:val="20"/>
        </w:rPr>
      </w:pPr>
      <w:r>
        <w:rPr>
          <w:sz w:val="20"/>
          <w:szCs w:val="20"/>
        </w:rPr>
        <w:t>Le résident à connaissance que l’association gestionnaire dispose d’un double de ses clefs et qu’elle pourra en faire usage en cas de force majeure.</w:t>
      </w:r>
    </w:p>
    <w:p>
      <w:pPr>
        <w:pStyle w:val="Normal"/>
        <w:jc w:val="both"/>
        <w:rPr>
          <w:sz w:val="20"/>
          <w:szCs w:val="20"/>
        </w:rPr>
      </w:pPr>
      <w:r>
        <w:rPr>
          <w:sz w:val="20"/>
          <w:szCs w:val="20"/>
        </w:rPr>
        <w:t>Lors du passage des services sanitaires dont il aura été averti, si le résidant ne peut être présent, l’association fera usage de son double de clés.</w:t>
      </w:r>
    </w:p>
    <w:p>
      <w:pPr>
        <w:pStyle w:val="Normal"/>
        <w:jc w:val="both"/>
        <w:rPr>
          <w:sz w:val="20"/>
          <w:szCs w:val="20"/>
        </w:rPr>
      </w:pPr>
      <w:r>
        <w:rPr>
          <w:sz w:val="20"/>
          <w:szCs w:val="20"/>
        </w:rPr>
      </w:r>
    </w:p>
    <w:p>
      <w:pPr>
        <w:pStyle w:val="Normal"/>
        <w:jc w:val="both"/>
        <w:rPr>
          <w:sz w:val="20"/>
          <w:szCs w:val="20"/>
        </w:rPr>
      </w:pPr>
      <w:r>
        <w:rPr>
          <w:sz w:val="20"/>
          <w:szCs w:val="20"/>
        </w:rPr>
        <w:t xml:space="preserve"> </w:t>
      </w:r>
    </w:p>
    <w:p>
      <w:pPr>
        <w:pStyle w:val="Normal"/>
        <w:jc w:val="both"/>
        <w:rPr>
          <w:sz w:val="20"/>
          <w:szCs w:val="20"/>
        </w:rPr>
      </w:pPr>
      <w:r>
        <w:rPr>
          <w:b/>
          <w:bCs/>
          <w:sz w:val="20"/>
          <w:szCs w:val="20"/>
        </w:rPr>
        <w:t>Article 8 – comportement :</w:t>
      </w:r>
    </w:p>
    <w:p>
      <w:pPr>
        <w:pStyle w:val="Normal"/>
        <w:jc w:val="both"/>
        <w:rPr>
          <w:sz w:val="20"/>
          <w:szCs w:val="20"/>
        </w:rPr>
      </w:pPr>
      <w:r>
        <w:rPr>
          <w:sz w:val="20"/>
          <w:szCs w:val="20"/>
        </w:rPr>
        <w:t>Le résident doit, en toutes circonstances, adopter un comportement courtois, calme et respectueux envers toute personne, résidant, personnel, visiteur ou représentant du gestionnaire.</w:t>
      </w:r>
    </w:p>
    <w:p>
      <w:pPr>
        <w:pStyle w:val="Normal"/>
        <w:jc w:val="both"/>
        <w:rPr>
          <w:sz w:val="20"/>
          <w:szCs w:val="20"/>
        </w:rPr>
      </w:pPr>
      <w:r>
        <w:rPr>
          <w:sz w:val="20"/>
          <w:szCs w:val="20"/>
        </w:rPr>
        <w:t>Les heurts verbaux et les violences physiques, les harcèlements sous toutes leurs formes sont proscrits d’une façon absolue.</w:t>
      </w:r>
    </w:p>
    <w:p>
      <w:pPr>
        <w:pStyle w:val="Normal"/>
        <w:jc w:val="both"/>
        <w:rPr>
          <w:sz w:val="20"/>
          <w:szCs w:val="20"/>
        </w:rPr>
      </w:pPr>
      <w:r>
        <w:rPr>
          <w:sz w:val="20"/>
          <w:szCs w:val="20"/>
        </w:rPr>
      </w:r>
    </w:p>
    <w:p>
      <w:pPr>
        <w:pStyle w:val="Normal"/>
        <w:jc w:val="both"/>
        <w:rPr>
          <w:sz w:val="20"/>
          <w:szCs w:val="20"/>
        </w:rPr>
      </w:pPr>
      <w:r>
        <w:rPr>
          <w:sz w:val="20"/>
          <w:szCs w:val="20"/>
        </w:rPr>
      </w:r>
    </w:p>
    <w:p>
      <w:pPr>
        <w:pStyle w:val="Normal"/>
        <w:jc w:val="both"/>
        <w:rPr>
          <w:b/>
          <w:b/>
          <w:bCs/>
          <w:sz w:val="20"/>
          <w:szCs w:val="20"/>
        </w:rPr>
      </w:pPr>
      <w:r>
        <w:rPr>
          <w:b/>
          <w:bCs/>
          <w:sz w:val="20"/>
          <w:szCs w:val="20"/>
        </w:rPr>
        <w:t xml:space="preserve">Article 9 – nuisances et sécurité: </w:t>
      </w:r>
    </w:p>
    <w:p>
      <w:pPr>
        <w:pStyle w:val="Normal"/>
        <w:jc w:val="both"/>
        <w:rPr>
          <w:sz w:val="20"/>
          <w:szCs w:val="20"/>
        </w:rPr>
      </w:pPr>
      <w:r>
        <w:rPr>
          <w:sz w:val="20"/>
          <w:szCs w:val="20"/>
        </w:rPr>
        <w:t>Le résident veillera en toutes circonstances à ne causer aucune nuisance sonore de jour comme de nuit, et prendra soin, notamment de régler ses appareils de radio ou de musique.</w:t>
      </w:r>
    </w:p>
    <w:p>
      <w:pPr>
        <w:pStyle w:val="Normal"/>
        <w:jc w:val="both"/>
        <w:rPr>
          <w:sz w:val="20"/>
          <w:szCs w:val="20"/>
        </w:rPr>
      </w:pPr>
      <w:r>
        <w:rPr>
          <w:sz w:val="20"/>
          <w:szCs w:val="20"/>
        </w:rPr>
        <w:t>Il veillera à ne pas accumuler de matières périssables et à vider ses déchets domestiques.</w:t>
      </w:r>
    </w:p>
    <w:p>
      <w:pPr>
        <w:pStyle w:val="Normal"/>
        <w:jc w:val="both"/>
        <w:rPr>
          <w:sz w:val="20"/>
          <w:szCs w:val="20"/>
        </w:rPr>
      </w:pPr>
      <w:r>
        <w:rPr>
          <w:sz w:val="20"/>
          <w:szCs w:val="20"/>
        </w:rPr>
        <w:t>Il signalera tout incident et dysfonctionnement des appareils et équipements.</w:t>
      </w:r>
    </w:p>
    <w:p>
      <w:pPr>
        <w:pStyle w:val="Normal"/>
        <w:jc w:val="both"/>
        <w:rPr>
          <w:sz w:val="20"/>
          <w:szCs w:val="20"/>
        </w:rPr>
      </w:pPr>
      <w:r>
        <w:rPr>
          <w:sz w:val="20"/>
          <w:szCs w:val="20"/>
        </w:rPr>
        <w:t>Nul ne pourra fumer dans les lieux non autorisés.</w:t>
      </w:r>
    </w:p>
    <w:p>
      <w:pPr>
        <w:pStyle w:val="Normal"/>
        <w:jc w:val="both"/>
        <w:rPr>
          <w:sz w:val="20"/>
          <w:szCs w:val="20"/>
        </w:rPr>
      </w:pPr>
      <w:r>
        <w:rPr>
          <w:sz w:val="20"/>
          <w:szCs w:val="20"/>
        </w:rPr>
        <w:t xml:space="preserve">Le résident se procurera des prises, rallonges et appareils électriques conformes aux normes de sécurité et en fera une utilisation conforme aux règles de sécurité. </w:t>
      </w:r>
    </w:p>
    <w:p>
      <w:pPr>
        <w:pStyle w:val="Normal"/>
        <w:jc w:val="both"/>
        <w:rPr>
          <w:sz w:val="20"/>
          <w:szCs w:val="20"/>
        </w:rPr>
      </w:pPr>
      <w:r>
        <w:rPr>
          <w:sz w:val="20"/>
          <w:szCs w:val="20"/>
        </w:rPr>
      </w:r>
    </w:p>
    <w:p>
      <w:pPr>
        <w:pStyle w:val="Normal"/>
        <w:jc w:val="both"/>
        <w:rPr>
          <w:sz w:val="20"/>
          <w:szCs w:val="20"/>
        </w:rPr>
      </w:pPr>
      <w:r>
        <w:rPr>
          <w:b/>
          <w:bCs/>
          <w:sz w:val="20"/>
          <w:szCs w:val="20"/>
        </w:rPr>
        <w:t>Article 10 – état des lieux :</w:t>
      </w:r>
    </w:p>
    <w:p>
      <w:pPr>
        <w:pStyle w:val="Normal"/>
        <w:jc w:val="both"/>
        <w:rPr>
          <w:sz w:val="20"/>
          <w:szCs w:val="20"/>
        </w:rPr>
      </w:pPr>
      <w:r>
        <w:rPr>
          <w:sz w:val="20"/>
          <w:szCs w:val="20"/>
        </w:rPr>
        <w:t>Avant son entrée dans les lieux, le résident signe conjointement avec le gestionnaire un état des lieux qui précise de façon détaillée l’état des surfaces, des équipements et du mobilier.</w:t>
      </w:r>
    </w:p>
    <w:p>
      <w:pPr>
        <w:pStyle w:val="Normal"/>
        <w:jc w:val="both"/>
        <w:rPr>
          <w:sz w:val="20"/>
          <w:szCs w:val="20"/>
        </w:rPr>
      </w:pPr>
      <w:r>
        <w:rPr>
          <w:sz w:val="20"/>
          <w:szCs w:val="20"/>
        </w:rPr>
        <w:t>Au départ du résident, un nouvel état des lieux est effectué, en sa présence ou celle d’une personne dûment mandatée par lui-même qui déterminera les éventuels frais de réparations incombant au résidant, selon les règles en usage, décrite dans l’état des lieux.</w:t>
      </w:r>
    </w:p>
    <w:p>
      <w:pPr>
        <w:pStyle w:val="Normal"/>
        <w:jc w:val="both"/>
        <w:rPr>
          <w:sz w:val="20"/>
          <w:szCs w:val="20"/>
        </w:rPr>
      </w:pPr>
      <w:r>
        <w:rPr>
          <w:sz w:val="20"/>
          <w:szCs w:val="20"/>
        </w:rPr>
        <w:t>En cas d’absence du résident à deux convocations, espacées de 15 jours, le gestionnaire pourra effectuer l’état des lieux sous contrôle d’huissier, les frais d’acte demeurant à sa charge.</w:t>
      </w:r>
    </w:p>
    <w:p>
      <w:pPr>
        <w:pStyle w:val="Normal"/>
        <w:jc w:val="both"/>
        <w:rPr>
          <w:sz w:val="20"/>
          <w:szCs w:val="20"/>
        </w:rPr>
      </w:pPr>
      <w:r>
        <w:rPr>
          <w:sz w:val="20"/>
          <w:szCs w:val="20"/>
        </w:rPr>
        <w:t>Une fois par an, au minimum, ou lorsque la sécurité peut être en cause, un état des lieux est effectué dans le logement du résident, en sa présence. Cet état des lieux a pour objet de vérifier le bon usage du logement et le bon état des équipements, le tout dans un objectif de maintien des conditions de sécurité.</w:t>
      </w:r>
    </w:p>
    <w:p>
      <w:pPr>
        <w:pStyle w:val="Normal"/>
        <w:jc w:val="both"/>
        <w:rPr>
          <w:sz w:val="20"/>
          <w:szCs w:val="20"/>
        </w:rPr>
      </w:pPr>
      <w:r>
        <w:rPr>
          <w:sz w:val="20"/>
          <w:szCs w:val="20"/>
        </w:rPr>
        <w:t>En cas de force majeure, il peut être dérogé à sa présence.</w:t>
      </w:r>
    </w:p>
    <w:p>
      <w:pPr>
        <w:pStyle w:val="Normal"/>
        <w:jc w:val="both"/>
        <w:rPr>
          <w:sz w:val="20"/>
          <w:szCs w:val="20"/>
        </w:rPr>
      </w:pPr>
      <w:r>
        <w:rPr>
          <w:sz w:val="20"/>
          <w:szCs w:val="20"/>
        </w:rPr>
      </w:r>
    </w:p>
    <w:p>
      <w:pPr>
        <w:pStyle w:val="Normal"/>
        <w:jc w:val="both"/>
        <w:rPr>
          <w:sz w:val="20"/>
          <w:szCs w:val="20"/>
        </w:rPr>
      </w:pPr>
      <w:r>
        <w:rPr>
          <w:sz w:val="20"/>
          <w:szCs w:val="20"/>
        </w:rPr>
      </w:r>
    </w:p>
    <w:p>
      <w:pPr>
        <w:pStyle w:val="Normal"/>
        <w:jc w:val="both"/>
        <w:rPr>
          <w:sz w:val="20"/>
          <w:szCs w:val="20"/>
        </w:rPr>
      </w:pPr>
      <w:r>
        <w:rPr>
          <w:b/>
          <w:bCs/>
          <w:sz w:val="20"/>
          <w:szCs w:val="20"/>
        </w:rPr>
        <w:t>Article 11 – usage des parties communes :</w:t>
      </w:r>
    </w:p>
    <w:p>
      <w:pPr>
        <w:pStyle w:val="Normal"/>
        <w:jc w:val="both"/>
        <w:rPr>
          <w:sz w:val="20"/>
          <w:szCs w:val="20"/>
        </w:rPr>
      </w:pPr>
      <w:r>
        <w:rPr>
          <w:sz w:val="20"/>
          <w:szCs w:val="20"/>
        </w:rPr>
        <w:t>Chaque résident se doit d’adopter un comportement respectueux de l’usage des parties communes : accès, couloirs, escaliers, locaux mis à sa disposition.</w:t>
      </w:r>
    </w:p>
    <w:p>
      <w:pPr>
        <w:pStyle w:val="Normal"/>
        <w:jc w:val="both"/>
        <w:rPr>
          <w:sz w:val="20"/>
          <w:szCs w:val="20"/>
        </w:rPr>
      </w:pPr>
      <w:r>
        <w:rPr>
          <w:sz w:val="20"/>
          <w:szCs w:val="20"/>
        </w:rPr>
        <w:t>Il veillera en permanence à ne pas encombrer les lieux, à ne pas les salir ou les dégrader autrement que dans l’usage courant, à ne pas entraver la bonne utilisation par les autres résidants ou, d’une façon absolue, à ne pas compromettre leur sécurité en aucune manière.</w:t>
      </w:r>
    </w:p>
    <w:p>
      <w:pPr>
        <w:pStyle w:val="Normal"/>
        <w:jc w:val="both"/>
        <w:rPr>
          <w:sz w:val="20"/>
          <w:szCs w:val="20"/>
        </w:rPr>
      </w:pPr>
      <w:r>
        <w:rPr>
          <w:sz w:val="20"/>
          <w:szCs w:val="20"/>
        </w:rPr>
        <w:t>Le résident a la faculté d’utiliser le séjour commun pendant les horaires d’ouvertures ou après l’acceptation par le gestionnaire de sa demande pour des circonstances exceptionnelles.</w:t>
      </w:r>
    </w:p>
    <w:p>
      <w:pPr>
        <w:pStyle w:val="Normal"/>
        <w:jc w:val="both"/>
        <w:rPr>
          <w:sz w:val="20"/>
          <w:szCs w:val="20"/>
        </w:rPr>
      </w:pPr>
      <w:r>
        <w:rPr>
          <w:sz w:val="20"/>
          <w:szCs w:val="20"/>
        </w:rPr>
        <w:t>L’utilisateur doit laisser les locaux parfaitement propres et en parfait état de fonctionnement. A défaut, il pourra lui être facturé les frais de remise en état.</w:t>
      </w:r>
    </w:p>
    <w:p>
      <w:pPr>
        <w:pStyle w:val="Normal"/>
        <w:jc w:val="both"/>
        <w:rPr>
          <w:sz w:val="20"/>
          <w:szCs w:val="20"/>
        </w:rPr>
      </w:pPr>
      <w:r>
        <w:rPr>
          <w:sz w:val="20"/>
          <w:szCs w:val="20"/>
        </w:rPr>
        <w:t>Le résident a la faculté d’utiliser les locaux communs pour un moment festif, après en avoir fait personnellement la demande et s’être engagé à la restituer dans un parfait état concernant les locaux, matériels et accessoires mis à sa disposition. A défaut, il pourra lui être facturé les frais de remise en état.</w:t>
      </w:r>
    </w:p>
    <w:p>
      <w:pPr>
        <w:pStyle w:val="Normal"/>
        <w:jc w:val="both"/>
        <w:rPr>
          <w:sz w:val="20"/>
          <w:szCs w:val="20"/>
        </w:rPr>
      </w:pPr>
      <w:r>
        <w:rPr>
          <w:sz w:val="20"/>
          <w:szCs w:val="20"/>
        </w:rPr>
        <w:t>La laverie est à la disposition des résidents qui se conformeront aux règles de fonctionnement affichées.</w:t>
      </w:r>
    </w:p>
    <w:p>
      <w:pPr>
        <w:pStyle w:val="Normal"/>
        <w:jc w:val="both"/>
        <w:rPr>
          <w:sz w:val="20"/>
          <w:szCs w:val="20"/>
        </w:rPr>
      </w:pPr>
      <w:r>
        <w:rPr>
          <w:sz w:val="20"/>
          <w:szCs w:val="20"/>
        </w:rPr>
      </w:r>
    </w:p>
    <w:p>
      <w:pPr>
        <w:pStyle w:val="Normal"/>
        <w:jc w:val="both"/>
        <w:rPr>
          <w:sz w:val="20"/>
          <w:szCs w:val="20"/>
        </w:rPr>
      </w:pPr>
      <w:r>
        <w:rPr>
          <w:sz w:val="20"/>
          <w:szCs w:val="20"/>
        </w:rPr>
      </w:r>
    </w:p>
    <w:p>
      <w:pPr>
        <w:pStyle w:val="Normal"/>
        <w:jc w:val="center"/>
        <w:rPr>
          <w:sz w:val="20"/>
          <w:szCs w:val="20"/>
        </w:rPr>
      </w:pPr>
      <w:r>
        <w:rPr>
          <w:sz w:val="20"/>
          <w:szCs w:val="20"/>
        </w:rPr>
        <w:t xml:space="preserve">A Suresnes,  </w:t>
      </w:r>
    </w:p>
    <w:p>
      <w:pPr>
        <w:pStyle w:val="Normal"/>
        <w:jc w:val="center"/>
        <w:rPr>
          <w:sz w:val="20"/>
          <w:szCs w:val="20"/>
        </w:rPr>
      </w:pPr>
      <w:r>
        <w:rPr>
          <w:sz w:val="20"/>
          <w:szCs w:val="20"/>
        </w:rPr>
      </w:r>
    </w:p>
    <w:p>
      <w:pPr>
        <w:pStyle w:val="Normal"/>
        <w:rPr>
          <w:sz w:val="20"/>
          <w:szCs w:val="20"/>
        </w:rPr>
      </w:pPr>
      <w:r>
        <w:rPr>
          <w:sz w:val="20"/>
          <w:szCs w:val="20"/>
        </w:rPr>
      </w:r>
    </w:p>
    <w:p>
      <w:pPr>
        <w:pStyle w:val="Normal"/>
        <w:rPr>
          <w:sz w:val="20"/>
          <w:szCs w:val="20"/>
        </w:rPr>
      </w:pPr>
      <w:r>
        <w:rPr>
          <w:sz w:val="20"/>
          <w:szCs w:val="20"/>
        </w:rPr>
        <w:t>Le gestionnaire</w:t>
      </w:r>
    </w:p>
    <w:p>
      <w:pPr>
        <w:pStyle w:val="Normal"/>
        <w:rPr>
          <w:sz w:val="20"/>
          <w:szCs w:val="20"/>
        </w:rPr>
      </w:pPr>
      <w:r>
        <w:rPr>
          <w:sz w:val="20"/>
          <w:szCs w:val="20"/>
        </w:rPr>
        <w:t xml:space="preserve">Pour </w:t>
      </w:r>
      <w:r>
        <w:rPr>
          <w:b/>
          <w:i/>
          <w:sz w:val="20"/>
          <w:szCs w:val="20"/>
        </w:rPr>
        <w:t>ehs</w:t>
      </w:r>
    </w:p>
    <w:p>
      <w:pPr>
        <w:pStyle w:val="Normal"/>
        <w:rPr>
          <w:sz w:val="20"/>
          <w:szCs w:val="20"/>
        </w:rPr>
      </w:pPr>
      <w:r>
        <w:rPr>
          <w:sz w:val="20"/>
          <w:szCs w:val="20"/>
        </w:rPr>
        <w:t>Jean-Philippe SORRIAUX</w:t>
      </w:r>
    </w:p>
    <w:p>
      <w:pPr>
        <w:pStyle w:val="Normal"/>
        <w:rPr>
          <w:sz w:val="20"/>
          <w:szCs w:val="20"/>
        </w:rPr>
      </w:pPr>
      <w:r>
        <w:rPr>
          <w:sz w:val="20"/>
          <w:szCs w:val="20"/>
        </w:rPr>
        <w:t xml:space="preserve">Directeur </w:t>
      </w:r>
    </w:p>
    <w:p>
      <w:pPr>
        <w:pStyle w:val="Normal"/>
        <w:rPr>
          <w:sz w:val="20"/>
          <w:szCs w:val="20"/>
        </w:rPr>
      </w:pPr>
      <w:r>
        <w:rPr>
          <w:sz w:val="20"/>
          <w:szCs w:val="20"/>
        </w:rPr>
      </w:r>
    </w:p>
    <w:p>
      <w:pPr>
        <w:pStyle w:val="Normal"/>
        <w:jc w:val="center"/>
        <w:rPr>
          <w:sz w:val="20"/>
          <w:szCs w:val="20"/>
        </w:rPr>
      </w:pPr>
      <w:r>
        <w:rPr>
          <w:sz w:val="20"/>
          <w:szCs w:val="20"/>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22" name="Image 31" descr="C:\Users\MK\Desktop\projet suresnes\DOCS SAVS\decret_04102018_12495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31" descr="C:\Users\MK\Desktop\projet suresnes\DOCS SAVS\decret_04102018_124953_Page_1.jpg"/>
                    <pic:cNvPicPr>
                      <a:picLocks noChangeAspect="1" noChangeArrowheads="1"/>
                    </pic:cNvPicPr>
                  </pic:nvPicPr>
                  <pic:blipFill>
                    <a:blip r:embed="rId21"/>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23" name="Image 32" descr="C:\Users\MK\Desktop\projet suresnes\DOCS SAVS\decret_04102018_12495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32" descr="C:\Users\MK\Desktop\projet suresnes\DOCS SAVS\decret_04102018_124953_Page_2.jpg"/>
                    <pic:cNvPicPr>
                      <a:picLocks noChangeAspect="1" noChangeArrowheads="1"/>
                    </pic:cNvPicPr>
                  </pic:nvPicPr>
                  <pic:blipFill>
                    <a:blip r:embed="rId22"/>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drawing>
          <wp:inline distT="0" distB="0" distL="0" distR="0">
            <wp:extent cx="5760085" cy="8177530"/>
            <wp:effectExtent l="0" t="0" r="0" b="0"/>
            <wp:docPr id="24" name="Image 28" descr="C:\Users\MK\Desktop\projet suresnes\DOCS SAVS\mail hauts de seine habitat_04102018_12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8" descr="C:\Users\MK\Desktop\projet suresnes\DOCS SAVS\mail hauts de seine habitat_04102018_125030.jpg"/>
                    <pic:cNvPicPr>
                      <a:picLocks noChangeAspect="1" noChangeArrowheads="1"/>
                    </pic:cNvPicPr>
                  </pic:nvPicPr>
                  <pic:blipFill>
                    <a:blip r:embed="rId23"/>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25" name="Image 29" descr="C:\Users\MK\Desktop\projet suresnes\DOCS SAVS\courrier eps erasme_04102018_12510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9" descr="C:\Users\MK\Desktop\projet suresnes\DOCS SAVS\courrier eps erasme_04102018_125103_Page_1.jpg"/>
                    <pic:cNvPicPr>
                      <a:picLocks noChangeAspect="1" noChangeArrowheads="1"/>
                    </pic:cNvPicPr>
                  </pic:nvPicPr>
                  <pic:blipFill>
                    <a:blip r:embed="rId24"/>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drawing>
          <wp:inline distT="0" distB="0" distL="0" distR="0">
            <wp:extent cx="5760085" cy="8177530"/>
            <wp:effectExtent l="0" t="0" r="0" b="0"/>
            <wp:docPr id="26" name="Image 30" descr="C:\Users\MK\Desktop\projet suresnes\DOCS SAVS\courrier eps erasme_04102018_12510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30" descr="C:\Users\MK\Desktop\projet suresnes\DOCS SAVS\courrier eps erasme_04102018_125103_Page_2.jpg"/>
                    <pic:cNvPicPr>
                      <a:picLocks noChangeAspect="1" noChangeArrowheads="1"/>
                    </pic:cNvPicPr>
                  </pic:nvPicPr>
                  <pic:blipFill>
                    <a:blip r:embed="rId25"/>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tbl>
      <w:tblPr>
        <w:tblW w:w="921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9212"/>
      </w:tblGrid>
      <w:tr>
        <w:trPr>
          <w:trHeight w:val="539" w:hRule="atLeast"/>
        </w:trPr>
        <w:tc>
          <w:tcPr>
            <w:tcW w:w="92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rFonts w:eastAsia="Arial Unicode MS"/>
                <w:b/>
                <w:b/>
                <w:bCs/>
                <w:sz w:val="40"/>
                <w:szCs w:val="40"/>
              </w:rPr>
            </w:pPr>
            <w:r>
              <w:rPr>
                <w:rFonts w:eastAsia="Arial Unicode MS"/>
                <w:b/>
                <w:bCs/>
                <w:sz w:val="40"/>
                <w:szCs w:val="40"/>
              </w:rPr>
              <w:t>CONVENTION</w:t>
            </w:r>
          </w:p>
        </w:tc>
      </w:tr>
    </w:tbl>
    <w:p>
      <w:pPr>
        <w:pStyle w:val="Normal"/>
        <w:rPr>
          <w:rFonts w:eastAsia="Arial Unicode MS"/>
        </w:rPr>
      </w:pPr>
      <w:r>
        <w:rPr>
          <w:rFonts w:eastAsia="Arial Unicode MS"/>
        </w:rPr>
      </w:r>
    </w:p>
    <w:p>
      <w:pPr>
        <w:pStyle w:val="Normal"/>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 w:val="left" w:pos="4536" w:leader="none"/>
          <w:tab w:val="left" w:pos="9072" w:leader="dot"/>
        </w:tabs>
        <w:rPr>
          <w:rFonts w:eastAsia="Arial Unicode MS"/>
        </w:rPr>
      </w:pPr>
      <w:r>
        <w:rPr>
          <w:rFonts w:eastAsia="Arial Unicode MS"/>
        </w:rPr>
        <w:t>ENTRE</w:t>
        <w:tab/>
        <w:t>Le Docteur</w:t>
        <w:tab/>
        <w:tab/>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 w:val="left" w:pos="4536" w:leader="none"/>
        </w:tabs>
        <w:rPr>
          <w:rFonts w:eastAsia="Arial Unicode MS"/>
        </w:rPr>
      </w:pPr>
      <w:r>
        <w:rPr>
          <w:rFonts w:eastAsia="Arial Unicode MS"/>
        </w:rPr>
        <w:t xml:space="preserve">ET </w:t>
        <w:tab/>
        <w:t>l’Association Espérance Hauts-de-Seine</w:t>
      </w:r>
    </w:p>
    <w:p>
      <w:pPr>
        <w:pStyle w:val="Normal"/>
        <w:tabs>
          <w:tab w:val="clear" w:pos="708"/>
          <w:tab w:val="left" w:pos="3402" w:leader="none"/>
          <w:tab w:val="left" w:pos="4536" w:leader="none"/>
        </w:tabs>
        <w:rPr>
          <w:rFonts w:eastAsia="Arial Unicode MS"/>
        </w:rPr>
      </w:pPr>
      <w:r>
        <w:rPr>
          <w:rFonts w:eastAsia="Arial Unicode MS"/>
        </w:rPr>
        <w:tab/>
        <w:t>Sise 2 rue Pablo Neruda</w:t>
      </w:r>
    </w:p>
    <w:p>
      <w:pPr>
        <w:pStyle w:val="Normal"/>
        <w:tabs>
          <w:tab w:val="clear" w:pos="708"/>
          <w:tab w:val="left" w:pos="3402" w:leader="none"/>
          <w:tab w:val="left" w:pos="4536" w:leader="none"/>
        </w:tabs>
        <w:rPr>
          <w:rFonts w:eastAsia="Arial Unicode MS"/>
        </w:rPr>
      </w:pPr>
      <w:r>
        <w:rPr>
          <w:rFonts w:eastAsia="Arial Unicode MS"/>
        </w:rPr>
        <w:tab/>
        <w:t>92220 BAGNEUX</w:t>
      </w:r>
    </w:p>
    <w:p>
      <w:pPr>
        <w:pStyle w:val="Normal"/>
        <w:tabs>
          <w:tab w:val="clear" w:pos="708"/>
          <w:tab w:val="left" w:pos="3402" w:leader="none"/>
          <w:tab w:val="left" w:pos="4536" w:leader="none"/>
          <w:tab w:val="left" w:pos="5670" w:leader="none"/>
        </w:tabs>
        <w:rPr>
          <w:rFonts w:eastAsia="Arial Unicode MS"/>
        </w:rPr>
      </w:pPr>
      <w:r>
        <w:rPr>
          <w:rFonts w:eastAsia="Arial Unicode MS"/>
        </w:rPr>
      </w:r>
    </w:p>
    <w:p>
      <w:pPr>
        <w:pStyle w:val="Normal"/>
        <w:tabs>
          <w:tab w:val="clear" w:pos="708"/>
          <w:tab w:val="left" w:pos="3402" w:leader="none"/>
          <w:tab w:val="left" w:pos="4536" w:leader="none"/>
          <w:tab w:val="left" w:pos="5670" w:leader="none"/>
        </w:tabs>
        <w:rPr>
          <w:rFonts w:eastAsia="Arial Unicode MS"/>
        </w:rPr>
      </w:pPr>
      <w:r>
        <w:rPr>
          <w:rFonts w:eastAsia="Arial Unicode MS"/>
        </w:rPr>
      </w:r>
    </w:p>
    <w:p>
      <w:pPr>
        <w:pStyle w:val="Normal"/>
        <w:tabs>
          <w:tab w:val="clear" w:pos="708"/>
          <w:tab w:val="left" w:pos="3402" w:leader="none"/>
          <w:tab w:val="left" w:pos="4536" w:leader="none"/>
          <w:tab w:val="left" w:pos="5670" w:leader="none"/>
        </w:tabs>
        <w:rPr>
          <w:rFonts w:eastAsia="Arial Unicode MS"/>
        </w:rPr>
      </w:pPr>
      <w:r>
        <w:rPr>
          <w:rFonts w:eastAsia="Arial Unicode MS"/>
        </w:rPr>
        <w:tab/>
        <w:t>Représentée par Monsieur Jean-Philippe SORRIAUX</w:t>
      </w:r>
    </w:p>
    <w:p>
      <w:pPr>
        <w:pStyle w:val="Normal"/>
        <w:tabs>
          <w:tab w:val="clear" w:pos="708"/>
          <w:tab w:val="left" w:pos="3402" w:leader="none"/>
          <w:tab w:val="left" w:pos="4536" w:leader="none"/>
          <w:tab w:val="left" w:pos="5670" w:leader="none"/>
        </w:tabs>
        <w:rPr>
          <w:rFonts w:eastAsia="Arial Unicode MS"/>
        </w:rPr>
      </w:pPr>
      <w:r>
        <w:rPr>
          <w:rFonts w:eastAsia="Arial Unicode MS"/>
        </w:rPr>
        <w:tab/>
        <w:t>Directeur du Service de Suite et d’Accompagnement</w:t>
      </w:r>
    </w:p>
    <w:p>
      <w:pPr>
        <w:pStyle w:val="Normal"/>
        <w:tabs>
          <w:tab w:val="clear" w:pos="708"/>
          <w:tab w:val="left" w:pos="3402" w:leader="none"/>
          <w:tab w:val="left" w:pos="4536" w:leader="none"/>
          <w:tab w:val="left" w:pos="5670" w:leader="none"/>
        </w:tabs>
        <w:rPr>
          <w:rFonts w:eastAsia="Arial Unicode MS"/>
        </w:rPr>
      </w:pPr>
      <w:r>
        <w:rPr>
          <w:rFonts w:eastAsia="Arial Unicode MS"/>
        </w:rPr>
        <w:tab/>
        <w:t>48-50 Avenue Victor Hugo</w:t>
      </w:r>
    </w:p>
    <w:p>
      <w:pPr>
        <w:pStyle w:val="Normal"/>
        <w:tabs>
          <w:tab w:val="clear" w:pos="708"/>
          <w:tab w:val="left" w:pos="3402" w:leader="none"/>
          <w:tab w:val="left" w:pos="4536" w:leader="none"/>
          <w:tab w:val="left" w:pos="5670" w:leader="none"/>
        </w:tabs>
        <w:rPr>
          <w:rFonts w:eastAsia="Arial Unicode MS"/>
        </w:rPr>
      </w:pPr>
      <w:r>
        <w:rPr>
          <w:rFonts w:eastAsia="Arial Unicode MS"/>
        </w:rPr>
        <w:tab/>
        <w:t>92 220 BAGNEUX</w:t>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1440" w:leader="none"/>
          <w:tab w:val="left" w:pos="9072" w:leader="dot"/>
        </w:tabs>
        <w:rPr>
          <w:rFonts w:eastAsia="Arial Unicode MS"/>
        </w:rPr>
      </w:pPr>
      <w:r>
        <w:rPr>
          <w:rFonts w:eastAsia="Arial Unicode MS"/>
        </w:rPr>
        <w:t xml:space="preserve">Concernant : </w:t>
        <w:tab/>
        <w:t>Mme, Mlle, M.</w:t>
        <w:tab/>
      </w:r>
    </w:p>
    <w:p>
      <w:pPr>
        <w:pStyle w:val="Normal"/>
        <w:tabs>
          <w:tab w:val="clear" w:pos="708"/>
          <w:tab w:val="left" w:pos="2880" w:leader="none"/>
          <w:tab w:val="left" w:pos="9072" w:leader="dot"/>
        </w:tabs>
        <w:rPr>
          <w:rFonts w:eastAsia="Arial Unicode MS"/>
        </w:rPr>
      </w:pPr>
      <w:r>
        <w:rPr>
          <w:rFonts w:eastAsia="Arial Unicode MS"/>
        </w:rPr>
      </w:r>
    </w:p>
    <w:p>
      <w:pPr>
        <w:pStyle w:val="Normal"/>
        <w:tabs>
          <w:tab w:val="clear" w:pos="708"/>
          <w:tab w:val="left" w:pos="567" w:leader="none"/>
        </w:tabs>
        <w:jc w:val="both"/>
        <w:rPr>
          <w:rFonts w:eastAsia="Arial Unicode MS"/>
        </w:rPr>
      </w:pPr>
      <w:r>
        <w:rPr>
          <w:rFonts w:eastAsia="Arial Unicode MS"/>
        </w:rPr>
        <w:t>L’association Espérance Hauts-de-Seine gère un Service de Suite et d’Accompagnement (SSA) qui accompagne des personnes adultes handicapées psychiques disposant d’un logement personnel ou d’une colocation en appartement associatif et dont le niveau de stabilisation permet la pérennisation de cette vie sociale autonome.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67" w:leader="none"/>
        </w:tabs>
        <w:jc w:val="both"/>
        <w:rPr>
          <w:rFonts w:eastAsia="Arial Unicode MS"/>
        </w:rPr>
      </w:pPr>
      <w:r>
        <w:rPr>
          <w:rFonts w:eastAsia="Arial Unicode MS"/>
        </w:rPr>
        <w:t>Le SSA est un Service d’Accompagnement à la Vie Sociale (S.A.V.S.) dont l’objectif est de répondre aux besoins exprimés par les usagers dans différents domaines de leur vie pour favoriser le maintien et le développement de leur autonomie, de leur bien être et de leur aisance sociale.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67" w:leader="none"/>
        </w:tabs>
        <w:jc w:val="both"/>
        <w:rPr>
          <w:rFonts w:eastAsia="Arial Unicode MS"/>
        </w:rPr>
      </w:pPr>
      <w:r>
        <w:rPr>
          <w:rFonts w:eastAsia="Arial Unicode MS"/>
        </w:rPr>
        <w:t>En fonction de leurs besoins spécifiques, les bénéficiaires peuvent être épaulés, conseillés ou accompagnés concrètement :</w:t>
      </w:r>
    </w:p>
    <w:p>
      <w:pPr>
        <w:pStyle w:val="Normal"/>
        <w:numPr>
          <w:ilvl w:val="0"/>
          <w:numId w:val="25"/>
        </w:numPr>
        <w:tabs>
          <w:tab w:val="clear" w:pos="708"/>
          <w:tab w:val="left" w:pos="720" w:leader="none"/>
        </w:tabs>
        <w:jc w:val="both"/>
        <w:rPr>
          <w:rFonts w:eastAsia="Arial Unicode MS"/>
        </w:rPr>
      </w:pPr>
      <w:r>
        <w:rPr>
          <w:rFonts w:eastAsia="Arial Unicode MS"/>
        </w:rPr>
        <w:t>dans divers aspects de la vie quotidienne : logement, hygiène, alimentation, sécurité, entretien…</w:t>
      </w:r>
    </w:p>
    <w:p>
      <w:pPr>
        <w:pStyle w:val="Normal"/>
        <w:numPr>
          <w:ilvl w:val="0"/>
          <w:numId w:val="25"/>
        </w:numPr>
        <w:tabs>
          <w:tab w:val="clear" w:pos="708"/>
          <w:tab w:val="left" w:pos="720" w:leader="none"/>
        </w:tabs>
        <w:jc w:val="both"/>
        <w:rPr>
          <w:rFonts w:eastAsia="Arial Unicode MS"/>
        </w:rPr>
      </w:pPr>
      <w:r>
        <w:rPr>
          <w:rFonts w:eastAsia="Arial Unicode MS"/>
        </w:rPr>
        <w:t>dans leur gestion administrative et financière</w:t>
      </w:r>
    </w:p>
    <w:p>
      <w:pPr>
        <w:pStyle w:val="Normal"/>
        <w:numPr>
          <w:ilvl w:val="0"/>
          <w:numId w:val="25"/>
        </w:numPr>
        <w:tabs>
          <w:tab w:val="clear" w:pos="708"/>
          <w:tab w:val="left" w:pos="720" w:leader="none"/>
        </w:tabs>
        <w:jc w:val="both"/>
        <w:rPr>
          <w:rFonts w:eastAsia="Arial Unicode MS"/>
        </w:rPr>
      </w:pPr>
      <w:r>
        <w:rPr>
          <w:rFonts w:eastAsia="Arial Unicode MS"/>
        </w:rPr>
        <w:t>dans leurs relations avec tous leurs interlocuteurs : curateur, CAF, CPAM, équipe médicale, bailleur, famille, services sociaux…</w:t>
      </w:r>
    </w:p>
    <w:p>
      <w:pPr>
        <w:pStyle w:val="Normal"/>
        <w:numPr>
          <w:ilvl w:val="0"/>
          <w:numId w:val="25"/>
        </w:numPr>
        <w:tabs>
          <w:tab w:val="clear" w:pos="708"/>
          <w:tab w:val="left" w:pos="720" w:leader="none"/>
        </w:tabs>
        <w:jc w:val="both"/>
        <w:rPr>
          <w:rFonts w:eastAsia="Arial Unicode MS"/>
        </w:rPr>
      </w:pPr>
      <w:r>
        <w:rPr>
          <w:rFonts w:eastAsia="Arial Unicode MS"/>
        </w:rPr>
        <w:t>dans leur insertion professionnelle</w:t>
      </w:r>
    </w:p>
    <w:p>
      <w:pPr>
        <w:sectPr>
          <w:footerReference w:type="default" r:id="rId26"/>
          <w:type w:val="nextPage"/>
          <w:pgSz w:w="11906" w:h="16838"/>
          <w:pgMar w:left="1417" w:right="1417" w:header="0" w:top="1417" w:footer="708" w:bottom="1417" w:gutter="0"/>
          <w:pgNumType w:fmt="decimal"/>
          <w:formProt w:val="false"/>
          <w:textDirection w:val="lrTb"/>
          <w:docGrid w:type="default" w:linePitch="360" w:charSpace="0"/>
        </w:sectPr>
        <w:pStyle w:val="Normal"/>
        <w:numPr>
          <w:ilvl w:val="0"/>
          <w:numId w:val="25"/>
        </w:numPr>
        <w:tabs>
          <w:tab w:val="clear" w:pos="708"/>
          <w:tab w:val="left" w:pos="720" w:leader="none"/>
        </w:tabs>
        <w:jc w:val="both"/>
        <w:rPr>
          <w:rFonts w:eastAsia="Arial Unicode MS"/>
        </w:rPr>
      </w:pPr>
      <w:r>
        <w:rPr>
          <w:rFonts w:eastAsia="Arial Unicode MS"/>
        </w:rPr>
        <w:t>dans leur intégration sociale par des animations culturelles et des loisirs proposés chaque week-end (qui peuvent être complétées par des participations aux Groupes d’Entraide Mutuelle (G.E.M.)</w:t>
      </w:r>
    </w:p>
    <w:p>
      <w:pPr>
        <w:pStyle w:val="Normal"/>
        <w:tabs>
          <w:tab w:val="clear" w:pos="708"/>
          <w:tab w:val="left" w:pos="567" w:leader="none"/>
        </w:tabs>
        <w:jc w:val="both"/>
        <w:rPr>
          <w:rFonts w:eastAsia="Arial Unicode MS"/>
          <w:b/>
          <w:b/>
          <w:bCs/>
        </w:rPr>
      </w:pPr>
      <w:r>
        <w:rPr>
          <w:rFonts w:eastAsia="Arial Unicode MS"/>
          <w:b/>
          <w:bCs/>
        </w:rPr>
        <w:t>Article 1 :</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6237" w:leader="none"/>
          <w:tab w:val="left" w:pos="9000" w:leader="dot"/>
        </w:tabs>
        <w:jc w:val="both"/>
        <w:rPr>
          <w:rFonts w:eastAsia="Arial Unicode MS"/>
        </w:rPr>
      </w:pPr>
      <w:r>
        <w:rPr>
          <w:rFonts w:eastAsia="Arial Unicode MS"/>
        </w:rPr>
        <w:t>Avec la connaissance qu’il a de la situation de Mme, Mlle, M.</w:t>
        <w:tab/>
        <w:tab/>
        <w:t>, le médecin psychiatre confirme que son insertion dans un logement personnel ou un appartement en colocation est une indication qui correspond à ses capacités et à son niveau de stabilisation.</w:t>
      </w:r>
    </w:p>
    <w:p>
      <w:pPr>
        <w:pStyle w:val="Normal"/>
        <w:tabs>
          <w:tab w:val="clear" w:pos="708"/>
          <w:tab w:val="left" w:pos="6237" w:leader="none"/>
          <w:tab w:val="left" w:pos="9000" w:leader="dot"/>
        </w:tabs>
        <w:jc w:val="both"/>
        <w:rPr>
          <w:rFonts w:eastAsia="Arial Unicode MS"/>
        </w:rPr>
      </w:pPr>
      <w:r>
        <w:rPr>
          <w:rFonts w:eastAsia="Arial Unicode MS"/>
        </w:rPr>
        <w:t>Ce qui implique :</w:t>
      </w:r>
    </w:p>
    <w:p>
      <w:pPr>
        <w:pStyle w:val="Normal"/>
        <w:tabs>
          <w:tab w:val="clear" w:pos="708"/>
          <w:tab w:val="left" w:pos="6237" w:leader="none"/>
          <w:tab w:val="left" w:pos="9000" w:leader="dot"/>
        </w:tabs>
        <w:jc w:val="both"/>
        <w:rPr>
          <w:rFonts w:eastAsia="Arial Unicode MS"/>
        </w:rPr>
      </w:pPr>
      <w:r>
        <w:rPr>
          <w:rFonts w:eastAsia="Arial Unicode MS"/>
        </w:rPr>
        <w:t>ou bien une bonne compliance au traitement et une capacité à le prendre seul de façon autonome</w:t>
      </w:r>
    </w:p>
    <w:p>
      <w:pPr>
        <w:pStyle w:val="Normal"/>
        <w:tabs>
          <w:tab w:val="clear" w:pos="708"/>
          <w:tab w:val="left" w:pos="6237" w:leader="none"/>
          <w:tab w:val="left" w:pos="9000" w:leader="dot"/>
        </w:tabs>
        <w:jc w:val="both"/>
        <w:rPr>
          <w:rFonts w:eastAsia="Arial Unicode MS"/>
        </w:rPr>
      </w:pPr>
      <w:r>
        <w:rPr>
          <w:rFonts w:eastAsia="Arial Unicode MS"/>
        </w:rPr>
        <w:t>ou bien que le médecin psychiatre cherche à mettre en place les modalités d’administration adaptées à chaque situation (traitement retard, prescription d’une distribution par infirmière DE, ou toute autre modalité appropriée…).</w:t>
      </w:r>
    </w:p>
    <w:p>
      <w:pPr>
        <w:pStyle w:val="Normal"/>
        <w:tabs>
          <w:tab w:val="clear" w:pos="708"/>
          <w:tab w:val="left" w:pos="6237" w:leader="none"/>
          <w:tab w:val="left" w:pos="9000" w:leader="dot"/>
        </w:tabs>
        <w:jc w:val="both"/>
        <w:rPr>
          <w:rFonts w:eastAsia="Arial Unicode MS"/>
        </w:rPr>
      </w:pPr>
      <w:r>
        <w:rPr>
          <w:rFonts w:eastAsia="Arial Unicode MS"/>
        </w:rPr>
        <w:t>Si cette question de l’observance du traitement est problématique elle peut justifier une orientation (ou une réorientation) en SAMSAH</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0" w:leader="none"/>
          <w:tab w:val="left" w:pos="3969" w:leader="dot"/>
        </w:tabs>
        <w:jc w:val="both"/>
        <w:rPr>
          <w:rFonts w:eastAsia="Arial Unicode MS"/>
        </w:rPr>
      </w:pPr>
      <w:r>
        <w:rPr>
          <w:rFonts w:eastAsia="Arial Unicode MS"/>
        </w:rPr>
        <w:t>Il est convenu que le médecin psychiatre poursuivra ses soins auprès de Mme, Mlle, M.</w:t>
        <w:tab/>
        <w:tab/>
        <w:tab/>
        <w:t xml:space="preserve"> qui bénéficie de l’accompagnement du SSA de Bagneux.</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2 : Admission</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La commission d’admission composée de la direction, du responsable du Service de Suite et d’Accompagnement et du médecin psychiatre du Service, propose l’admission au SSA en référence :</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l’avis CDAPH notifiée par la MDPH</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un état de stabilisation et de capacités compatible avec une vie autonome en logement personnel ou en appartement en colocation</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 demande personnelle du futur bénéficiaire indiquant les domaines dans lesquels il compte sur l’aide du SSA</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l’élaboration d’un projet de vie et des moyens de sa réalisation</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 signature de la présente convention</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3 : Coopération des intervenants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Afin d’assurer aux usagers du SSA l’accompagnement le mieux adapté à leurs besoins, le médecin psychiatre et le SSA s’engagent à se communiquer mutuellement, dans le respect du secret professionnel conformément aux dispositions figurant en annexe, toutes les informations indispensables à leur prise en charge.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Parmi ces informations figurent notamment :</w:t>
      </w:r>
    </w:p>
    <w:p>
      <w:pPr>
        <w:pStyle w:val="Normal"/>
        <w:numPr>
          <w:ilvl w:val="0"/>
          <w:numId w:val="25"/>
        </w:numPr>
        <w:tabs>
          <w:tab w:val="clear" w:pos="708"/>
          <w:tab w:val="left" w:pos="720" w:leader="none"/>
          <w:tab w:val="left" w:pos="3969" w:leader="dot"/>
        </w:tabs>
        <w:jc w:val="both"/>
        <w:rPr>
          <w:rFonts w:eastAsia="Arial Unicode MS"/>
        </w:rPr>
      </w:pPr>
      <w:r>
        <w:rPr>
          <w:rFonts w:eastAsia="Arial Unicode MS"/>
        </w:rPr>
        <w:t>que le SSA informe en temps utile le secteur des situations de déstabilisation</w:t>
      </w:r>
    </w:p>
    <w:p>
      <w:pPr>
        <w:pStyle w:val="Normal"/>
        <w:numPr>
          <w:ilvl w:val="0"/>
          <w:numId w:val="25"/>
        </w:numPr>
        <w:tabs>
          <w:tab w:val="clear" w:pos="708"/>
          <w:tab w:val="left" w:pos="720" w:leader="none"/>
          <w:tab w:val="left" w:pos="3969" w:leader="dot"/>
        </w:tabs>
        <w:jc w:val="both"/>
        <w:rPr>
          <w:rFonts w:eastAsia="Arial Unicode MS"/>
        </w:rPr>
      </w:pPr>
      <w:r>
        <w:rPr>
          <w:rFonts w:eastAsia="Arial Unicode MS"/>
        </w:rPr>
        <w:t>que le SSA transmette au médecin psychiatre le Projet d’Accompagnement Personnalisé (PAP) initial ainsi que ses réajustements annuels successifs</w:t>
      </w:r>
    </w:p>
    <w:p>
      <w:pPr>
        <w:pStyle w:val="Normal"/>
        <w:numPr>
          <w:ilvl w:val="0"/>
          <w:numId w:val="25"/>
        </w:numPr>
        <w:tabs>
          <w:tab w:val="clear" w:pos="708"/>
          <w:tab w:val="left" w:pos="720" w:leader="none"/>
          <w:tab w:val="left" w:pos="3969" w:leader="dot"/>
        </w:tabs>
        <w:jc w:val="both"/>
        <w:rPr>
          <w:rFonts w:eastAsia="Arial Unicode MS"/>
        </w:rPr>
      </w:pPr>
      <w:r>
        <w:rPr>
          <w:rFonts w:eastAsia="Arial Unicode MS"/>
        </w:rPr>
        <w:t>que le médecin psychiatre comme le SSA s’informent mutuellement sans tarder dès perception de la rupture du suivi thérapeutique ou de la non observance de la prise du traitement</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sectPr>
          <w:footerReference w:type="default" r:id="rId27"/>
          <w:type w:val="nextPage"/>
          <w:pgSz w:w="11906" w:h="16838"/>
          <w:pgMar w:left="1417" w:right="1417" w:header="0" w:top="1417" w:footer="708" w:bottom="1417" w:gutter="0"/>
          <w:pgNumType w:fmt="decimal"/>
          <w:formProt w:val="false"/>
          <w:textDirection w:val="lrTb"/>
          <w:docGrid w:type="default" w:linePitch="360" w:charSpace="0"/>
        </w:sectPr>
        <w:pStyle w:val="Normal"/>
        <w:tabs>
          <w:tab w:val="clear" w:pos="708"/>
          <w:tab w:val="left" w:pos="540" w:leader="none"/>
          <w:tab w:val="left" w:pos="3969" w:leader="dot"/>
        </w:tabs>
        <w:jc w:val="both"/>
        <w:rPr>
          <w:rFonts w:eastAsia="Arial Unicode MS"/>
        </w:rPr>
      </w:pPr>
      <w:r>
        <w:rPr>
          <w:rFonts w:eastAsia="Arial Unicode MS"/>
        </w:rPr>
        <w:t>Lors de situations particulières le nécessitant, des réunions de synthèse, avec la participation de la personne concernée, pourront être organisées à la demande de chacun des trois interlocuteurs.</w:t>
      </w:r>
    </w:p>
    <w:p>
      <w:pPr>
        <w:pStyle w:val="Normal"/>
        <w:tabs>
          <w:tab w:val="clear" w:pos="708"/>
          <w:tab w:val="left" w:pos="540" w:leader="none"/>
          <w:tab w:val="left" w:pos="3969" w:leader="dot"/>
        </w:tabs>
        <w:jc w:val="both"/>
        <w:rPr>
          <w:rFonts w:eastAsia="Arial Unicode MS"/>
          <w:b/>
          <w:b/>
          <w:bCs/>
        </w:rPr>
      </w:pPr>
      <w:r>
        <w:rPr>
          <w:rFonts w:eastAsia="Arial Unicode MS"/>
          <w:b/>
          <w:bCs/>
        </w:rPr>
        <w:t>Article 4 : Règles de fonctionnement</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Un règlement de fonctionnement régit les droits, devoirs et relations des usagers et des professionnels du SSA. Ce règlement est porté à la connaissance du médecin psychiatre. Le règlement de fonctionnement, rédigé conformément aux règles légales en vigueur, mentionne la participation et l’organisation des diverses instances participatives : conseil à la vie sociale, redéfinition annuelle du PAP, questionnaire de satisfaction…</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Pour les usagers qui bénéficient d’un appartement associatif en colocation un règlement intérieur spécifique et un vademecum de vie pratique pour définir les relations, les engagements et le respect mutuel entre colocataires complètent ces repères. Ils sont aussi portés à la connaissance du médecin psychiatre.</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5 : Soins et hospitalisations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Les usagers du SSA bénéficient d’un suivi régulier tel que prévu avec leur médecin psychiatre.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En cas d’hospitalisation, l’accompagnement par le SSA se poursuit et le contact avec la personne est maintenu par des visites à l’hôpital régulières (sauf avis contraire de l’équipe soignante). Pour que cet accompagnement puisse se mettre rapidement en place, le médecin psychiatre veillera à tenir informé le SSA dès le début de l’hospitalisation.</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rPr>
      </w:pPr>
      <w:r>
        <w:rPr>
          <w:rFonts w:eastAsia="Arial Unicode MS"/>
        </w:rPr>
        <w:t>Il est souhaitable que l’équipe du SSA soit avertie de la fin de l’hospitalisation pour pouvoir, en temps utile et de façon adaptée, épauler la personne lors de son retour à son domicile.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En cas de situation de blocage avec le SSA (évitements ou refus durables et répétés de rendez-vous…) ou en cas de situation de crise ou d’urgence, le médecin psychiatre s’engage à apporter son appui au SSA soit par une consultation rapide, soit par une intervention en VAD, soit, si nécessaire, par une coordination efficace pour réaliser une hospitalisation dans de bonnes conditions.</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6 : Relais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Pour tout changement de médecin psychiatre, le Service de Suite et d'Accompagnement doit être informé.</w:t>
      </w:r>
    </w:p>
    <w:p>
      <w:pPr>
        <w:pStyle w:val="Normal"/>
        <w:tabs>
          <w:tab w:val="clear" w:pos="708"/>
          <w:tab w:val="left" w:pos="540" w:leader="none"/>
          <w:tab w:val="left" w:pos="3969" w:leader="dot"/>
        </w:tabs>
        <w:jc w:val="both"/>
        <w:rPr>
          <w:rFonts w:eastAsia="Arial Unicode MS"/>
        </w:rPr>
      </w:pPr>
      <w:r>
        <w:rPr>
          <w:rFonts w:eastAsia="Arial Unicode MS"/>
        </w:rPr>
        <w:t>S’il convient effectivement de réaliser ce changement, le médecin d’origine devra se mettre en relation avec le nouveau médecin psychiatre pour transmettre tous les éléments nécessaires et pour s’accorder sur la prise de relais du suivi thérapeutique. Le nouveau médecin confirmera ce relais en acceptant de signer une nouvelle convention.</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103" w:leader="none"/>
          <w:tab w:val="left" w:pos="5670" w:leader="none"/>
          <w:tab w:val="left" w:pos="9072" w:leader="dot"/>
        </w:tabs>
        <w:jc w:val="both"/>
        <w:rPr>
          <w:rFonts w:eastAsia="Arial Unicode MS"/>
        </w:rPr>
      </w:pPr>
      <w:r>
        <w:rPr>
          <w:rFonts w:eastAsia="Arial Unicode MS"/>
        </w:rPr>
        <w:tab/>
        <w:t xml:space="preserve">Fait à </w:t>
        <w:tab/>
      </w:r>
    </w:p>
    <w:p>
      <w:pPr>
        <w:pStyle w:val="Normal"/>
        <w:tabs>
          <w:tab w:val="clear" w:pos="708"/>
          <w:tab w:val="left" w:pos="5103" w:leader="none"/>
          <w:tab w:val="left" w:pos="5670" w:leader="none"/>
          <w:tab w:val="left" w:pos="9072" w:leader="dot"/>
        </w:tabs>
        <w:jc w:val="both"/>
        <w:rPr>
          <w:rFonts w:eastAsia="Arial Unicode MS"/>
        </w:rPr>
      </w:pPr>
      <w:r>
        <w:rPr>
          <w:rFonts w:eastAsia="Arial Unicode MS"/>
        </w:rPr>
        <w:tab/>
        <w:t>Le</w:t>
        <w:tab/>
        <w:tab/>
      </w:r>
    </w:p>
    <w:p>
      <w:pPr>
        <w:pStyle w:val="Normal"/>
        <w:tabs>
          <w:tab w:val="clear" w:pos="708"/>
          <w:tab w:val="left" w:pos="5103" w:leader="none"/>
          <w:tab w:val="left" w:pos="5670" w:leader="none"/>
          <w:tab w:val="left" w:pos="6300" w:leader="none"/>
          <w:tab w:val="left" w:pos="9072" w:leader="dot"/>
        </w:tabs>
        <w:jc w:val="both"/>
        <w:rPr>
          <w:rFonts w:eastAsia="Arial Unicode MS"/>
          <w:sz w:val="16"/>
          <w:szCs w:val="16"/>
        </w:rPr>
      </w:pPr>
      <w:r>
        <w:rPr>
          <w:rFonts w:eastAsia="Arial Unicode MS"/>
          <w:sz w:val="16"/>
          <w:szCs w:val="16"/>
        </w:rPr>
      </w:r>
    </w:p>
    <w:p>
      <w:pPr>
        <w:pStyle w:val="Normal"/>
        <w:tabs>
          <w:tab w:val="clear" w:pos="708"/>
          <w:tab w:val="left" w:pos="1134" w:leader="none"/>
          <w:tab w:val="left" w:pos="3969" w:leader="dot"/>
          <w:tab w:val="left" w:pos="5103" w:leader="none"/>
          <w:tab w:val="left" w:pos="5670" w:leader="none"/>
        </w:tabs>
        <w:jc w:val="both"/>
        <w:rPr>
          <w:rFonts w:eastAsia="Arial Unicode MS"/>
        </w:rPr>
      </w:pPr>
      <w:r>
        <w:rPr>
          <w:rFonts w:eastAsia="Arial Unicode MS"/>
        </w:rPr>
        <w:t xml:space="preserve">le Docteur </w:t>
        <w:tab/>
        <w:tab/>
        <w:tab/>
        <w:t>L’Association Espérance Hauts-de-Seine</w:t>
      </w:r>
    </w:p>
    <w:p>
      <w:pPr>
        <w:pStyle w:val="Normal"/>
        <w:tabs>
          <w:tab w:val="clear" w:pos="708"/>
          <w:tab w:val="left" w:pos="5103" w:leader="none"/>
        </w:tabs>
        <w:jc w:val="both"/>
        <w:rPr>
          <w:rFonts w:eastAsia="Arial Unicode MS"/>
        </w:rPr>
      </w:pPr>
      <w:r>
        <w:rPr>
          <w:rFonts w:eastAsia="Arial Unicode MS"/>
        </w:rPr>
        <w:tab/>
        <w:t>Représentée par</w:t>
      </w:r>
    </w:p>
    <w:p>
      <w:pPr>
        <w:pStyle w:val="Normal"/>
        <w:tabs>
          <w:tab w:val="clear" w:pos="708"/>
          <w:tab w:val="left" w:pos="5103" w:leader="none"/>
        </w:tabs>
        <w:jc w:val="both"/>
        <w:rPr>
          <w:rFonts w:eastAsia="Arial Unicode MS"/>
        </w:rPr>
      </w:pPr>
      <w:r>
        <w:rPr>
          <w:rFonts w:eastAsia="Arial Unicode MS"/>
        </w:rPr>
        <w:tab/>
        <w:t>M. Jean-Philippe SORRIAUX</w:t>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sectPr>
          <w:footerReference w:type="default" r:id="rId28"/>
          <w:type w:val="nextPage"/>
          <w:pgSz w:w="11906" w:h="16838"/>
          <w:pgMar w:left="1417" w:right="1417" w:header="0" w:top="1417" w:footer="708" w:bottom="1417" w:gutter="0"/>
          <w:pgNumType w:fmt="decimal"/>
          <w:formProt w:val="false"/>
          <w:textDirection w:val="lrTb"/>
          <w:docGrid w:type="default" w:linePitch="360" w:charSpace="0"/>
        </w:sectPr>
        <w:pStyle w:val="Normal"/>
        <w:tabs>
          <w:tab w:val="clear" w:pos="708"/>
          <w:tab w:val="left" w:pos="1134" w:leader="none"/>
          <w:tab w:val="left" w:pos="4320" w:leader="none"/>
          <w:tab w:val="left" w:pos="7371" w:leader="dot"/>
        </w:tabs>
        <w:jc w:val="both"/>
        <w:rPr>
          <w:rFonts w:eastAsia="Arial Unicode MS"/>
        </w:rPr>
      </w:pPr>
      <w:r>
        <w:rPr>
          <w:rFonts w:eastAsia="Arial Unicode MS"/>
        </w:rPr>
        <w:tab/>
        <w:t>en accord avec Mme, Mlle, M.</w:t>
        <w:tab/>
        <w:tab/>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t xml:space="preserve">ANNEXE A LA CONVENTION DU </w:t>
      </w:r>
      <w:r>
        <w:rPr/>
        <w:tab/>
      </w:r>
      <w:r>
        <w:rPr>
          <w:b/>
          <w:bCs/>
          <w:sz w:val="28"/>
        </w:rPr>
        <w:tab/>
      </w:r>
    </w:p>
    <w:p>
      <w:pPr>
        <w:pStyle w:val="Normal"/>
        <w:tabs>
          <w:tab w:val="clear" w:pos="708"/>
          <w:tab w:val="left" w:pos="2835" w:leader="none"/>
          <w:tab w:val="left" w:pos="9072" w:leader="dot"/>
        </w:tabs>
        <w:rPr/>
      </w:pPr>
      <w:r>
        <w:rPr/>
      </w:r>
    </w:p>
    <w:p>
      <w:pPr>
        <w:pStyle w:val="Normal"/>
        <w:tabs>
          <w:tab w:val="clear" w:pos="708"/>
          <w:tab w:val="left" w:pos="6237" w:leader="none"/>
          <w:tab w:val="left" w:pos="9000" w:leader="dot"/>
        </w:tabs>
        <w:jc w:val="both"/>
        <w:rPr>
          <w:rFonts w:eastAsia="Arial Unicode MS"/>
          <w:b/>
          <w:b/>
        </w:rPr>
      </w:pPr>
      <w:r>
        <w:rPr>
          <w:rFonts w:eastAsia="Arial Unicode MS"/>
          <w:b/>
        </w:rPr>
        <w:t>ENTRE LE SECTEUR ET L’ETABLISSEMENT MEDICO-SOCIAL RELATIVE AU SECRET MEDICAL ET PROFESSIONNEL ET A LA TRANSMISSION D’INFORMATIONS</w:t>
      </w:r>
    </w:p>
    <w:p>
      <w:pPr>
        <w:pStyle w:val="Normal"/>
        <w:tabs>
          <w:tab w:val="clear" w:pos="708"/>
          <w:tab w:val="left" w:pos="2835" w:leader="none"/>
          <w:tab w:val="left" w:pos="9072" w:leader="dot"/>
        </w:tabs>
        <w:rPr/>
      </w:pPr>
      <w:r>
        <w:rPr/>
      </w:r>
    </w:p>
    <w:p>
      <w:pPr>
        <w:pStyle w:val="Normal"/>
        <w:rPr/>
      </w:pPr>
      <w:r>
        <w:rPr/>
        <w:t>Conformément à l’article 7 de la charte des droits et  libertés de la personne accueillie et à l’article 8 de la Charte du patient hospitalisé, il est garanti à la personne accueillie comme à ses représentants légaux et à sa famille, par exemple des personnels ou personnes réalisant une prise en charge ou un accompagnement, le respect de la confidentialité des informations la concernant dans le cadre des lois existantes. Les données médicales, qui sont transmises aux médecins, sont protégées par le secret médical. Toutes les données personnelles qui viennent à la connaissance des personnels d’encadrement non soumis au secret médical sont protégées par le secret professionnel.</w:t>
      </w:r>
    </w:p>
    <w:p>
      <w:pPr>
        <w:pStyle w:val="Normal"/>
        <w:tabs>
          <w:tab w:val="clear" w:pos="708"/>
          <w:tab w:val="left" w:pos="2835" w:leader="none"/>
          <w:tab w:val="left" w:pos="9072" w:leader="dot"/>
        </w:tabs>
        <w:rPr/>
      </w:pPr>
      <w:r>
        <w:rPr/>
      </w:r>
    </w:p>
    <w:p>
      <w:pPr>
        <w:pStyle w:val="Normal"/>
        <w:rPr/>
      </w:pPr>
      <w:r>
        <w:rPr/>
        <w:t>Les parties reconnaissent que la transmission d’informations à tout tiers signalant un danger ou permettant de prévenir la réalisation d’un risque pour lui-même ou pour autrui ne relève pas de la violation du secret professionnel et/ou médical.</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Compte tenu de leurs domaines et des modalités d’intervention respectifs, les parties conviennent d’échanger toute information, notamment nominative, utile à la prise en charge par l’autre partie.</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La transmission d’information se fera dans le respect de la réglementation en vigueur c’est-à-dire avec l’accord express et écrit de la personne prise en charge et/ou de son représentant légal.</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L’accord pour la transmission d’informations disparaît sans délai dans les cas suivants :</w:t>
      </w:r>
    </w:p>
    <w:p>
      <w:pPr>
        <w:pStyle w:val="Normal"/>
        <w:numPr>
          <w:ilvl w:val="0"/>
          <w:numId w:val="27"/>
        </w:numPr>
        <w:tabs>
          <w:tab w:val="clear" w:pos="708"/>
          <w:tab w:val="left" w:pos="2835" w:leader="none"/>
          <w:tab w:val="left" w:pos="9072" w:leader="dot"/>
        </w:tabs>
        <w:jc w:val="both"/>
        <w:rPr/>
      </w:pPr>
      <w:r>
        <w:rPr/>
        <w:t>Si la personne prise en charge révoque par écrit et sans motif son accord (sous réserve d’informer l’ensemble des parties).</w:t>
      </w:r>
    </w:p>
    <w:p>
      <w:pPr>
        <w:pStyle w:val="Normal"/>
        <w:numPr>
          <w:ilvl w:val="0"/>
          <w:numId w:val="27"/>
        </w:numPr>
        <w:tabs>
          <w:tab w:val="clear" w:pos="708"/>
          <w:tab w:val="left" w:pos="2835" w:leader="none"/>
          <w:tab w:val="left" w:pos="9072" w:leader="dot"/>
        </w:tabs>
        <w:jc w:val="both"/>
        <w:rPr/>
      </w:pPr>
      <w:r>
        <w:rPr/>
        <w:t>En cas de fin de prise en charge par l’une des parties et quel qu’en soit le motif.</w:t>
      </w:r>
    </w:p>
    <w:p>
      <w:pPr>
        <w:pStyle w:val="Normal"/>
        <w:numPr>
          <w:ilvl w:val="0"/>
          <w:numId w:val="27"/>
        </w:numPr>
        <w:tabs>
          <w:tab w:val="clear" w:pos="708"/>
          <w:tab w:val="left" w:pos="2835" w:leader="none"/>
          <w:tab w:val="left" w:pos="9072" w:leader="dot"/>
        </w:tabs>
        <w:jc w:val="both"/>
        <w:rPr/>
      </w:pPr>
      <w:r>
        <w:rPr/>
        <w:t>En cas de résiliation de la présente convention.</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En cas de disparition totale ou partielle de l’accord de transmission d’informations, chacune des parties examinera l’opportunité et/ou la faisabilité de poursuivre la prise en charge sur de nouvelles bases pour ce qui la concerne.</w:t>
      </w:r>
    </w:p>
    <w:p>
      <w:pPr>
        <w:pStyle w:val="Normal"/>
        <w:tabs>
          <w:tab w:val="clear" w:pos="708"/>
          <w:tab w:val="left" w:pos="1134" w:leader="none"/>
          <w:tab w:val="left" w:pos="4320" w:leader="none"/>
          <w:tab w:val="left" w:pos="7371" w:leader="dot"/>
        </w:tabs>
        <w:rPr>
          <w:rFonts w:eastAsia="Arial Unicode MS"/>
        </w:rPr>
      </w:pPr>
      <w:r>
        <w:rPr>
          <w:rFonts w:eastAsia="Arial Unicode MS"/>
        </w:rPr>
      </w:r>
    </w:p>
    <w:p>
      <w:pPr>
        <w:pStyle w:val="Normal"/>
        <w:tabs>
          <w:tab w:val="clear" w:pos="708"/>
          <w:tab w:val="left" w:pos="2835" w:leader="none"/>
          <w:tab w:val="left" w:pos="9072" w:leader="dot"/>
        </w:tabs>
        <w:rPr>
          <w:rFonts w:eastAsia="Arial Unicode MS"/>
        </w:rPr>
      </w:pPr>
      <w:r>
        <w:rPr>
          <w:rFonts w:eastAsia="Arial Unicode MS"/>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tbl>
      <w:tblPr>
        <w:tblW w:w="921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9212"/>
      </w:tblGrid>
      <w:tr>
        <w:trPr>
          <w:trHeight w:val="539" w:hRule="atLeast"/>
        </w:trPr>
        <w:tc>
          <w:tcPr>
            <w:tcW w:w="92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vAlign w:val="center"/>
          </w:tcPr>
          <w:p>
            <w:pPr>
              <w:pStyle w:val="Normal"/>
              <w:jc w:val="center"/>
              <w:rPr>
                <w:rFonts w:eastAsia="Arial Unicode MS"/>
                <w:b/>
                <w:b/>
                <w:bCs/>
                <w:sz w:val="40"/>
                <w:szCs w:val="40"/>
              </w:rPr>
            </w:pPr>
            <w:r>
              <w:rPr>
                <w:rFonts w:eastAsia="Arial Unicode MS"/>
                <w:b/>
                <w:bCs/>
                <w:sz w:val="40"/>
                <w:szCs w:val="40"/>
              </w:rPr>
              <w:t>CONVENTION</w:t>
            </w:r>
          </w:p>
        </w:tc>
      </w:tr>
    </w:tbl>
    <w:p>
      <w:pPr>
        <w:pStyle w:val="Normal"/>
        <w:rPr>
          <w:rFonts w:eastAsia="Arial Unicode MS"/>
        </w:rPr>
      </w:pPr>
      <w:r>
        <w:rPr>
          <w:rFonts w:eastAsia="Arial Unicode MS"/>
        </w:rPr>
      </w:r>
    </w:p>
    <w:p>
      <w:pPr>
        <w:pStyle w:val="Normal"/>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 w:val="left" w:pos="5103" w:leader="none"/>
          <w:tab w:val="left" w:pos="5670" w:leader="dot"/>
        </w:tabs>
        <w:rPr>
          <w:rFonts w:eastAsia="Arial Unicode MS"/>
        </w:rPr>
      </w:pPr>
      <w:r>
        <w:rPr>
          <w:rFonts w:eastAsia="Arial Unicode MS"/>
        </w:rPr>
        <w:t>ENTRE</w:t>
        <w:tab/>
        <w:t xml:space="preserve">le Secteur 92 G </w:t>
        <w:tab/>
        <w:tab/>
      </w:r>
    </w:p>
    <w:p>
      <w:pPr>
        <w:pStyle w:val="Normal"/>
        <w:tabs>
          <w:tab w:val="clear" w:pos="708"/>
          <w:tab w:val="left" w:pos="3402" w:leader="none"/>
          <w:tab w:val="left" w:pos="4536" w:leader="none"/>
          <w:tab w:val="left" w:pos="9072" w:leader="dot"/>
        </w:tabs>
        <w:rPr>
          <w:rFonts w:eastAsia="Arial Unicode MS"/>
        </w:rPr>
      </w:pPr>
      <w:r>
        <w:rPr>
          <w:rFonts w:eastAsia="Arial Unicode MS"/>
        </w:rPr>
        <w:tab/>
        <w:t>représenté par le Docteur</w:t>
        <w:tab/>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s>
        <w:rPr>
          <w:rFonts w:eastAsia="Arial Unicode MS"/>
        </w:rPr>
      </w:pPr>
      <w:r>
        <w:rPr>
          <w:rFonts w:eastAsia="Arial Unicode MS"/>
        </w:rPr>
      </w:r>
    </w:p>
    <w:p>
      <w:pPr>
        <w:pStyle w:val="Normal"/>
        <w:tabs>
          <w:tab w:val="clear" w:pos="708"/>
          <w:tab w:val="left" w:pos="3402" w:leader="none"/>
          <w:tab w:val="left" w:pos="4536" w:leader="none"/>
        </w:tabs>
        <w:rPr>
          <w:rFonts w:eastAsia="Arial Unicode MS"/>
        </w:rPr>
      </w:pPr>
      <w:r>
        <w:rPr>
          <w:rFonts w:eastAsia="Arial Unicode MS"/>
        </w:rPr>
        <w:t xml:space="preserve">ET </w:t>
        <w:tab/>
        <w:t>l’Association Espérance Hauts-de-Seine</w:t>
      </w:r>
    </w:p>
    <w:p>
      <w:pPr>
        <w:pStyle w:val="Normal"/>
        <w:tabs>
          <w:tab w:val="clear" w:pos="708"/>
          <w:tab w:val="left" w:pos="3402" w:leader="none"/>
          <w:tab w:val="left" w:pos="4536" w:leader="none"/>
        </w:tabs>
        <w:rPr>
          <w:rFonts w:eastAsia="Arial Unicode MS"/>
        </w:rPr>
      </w:pPr>
      <w:r>
        <w:rPr>
          <w:rFonts w:eastAsia="Arial Unicode MS"/>
        </w:rPr>
        <w:tab/>
        <w:t>Sise 2 rue Pablo Néruda</w:t>
      </w:r>
    </w:p>
    <w:p>
      <w:pPr>
        <w:pStyle w:val="Normal"/>
        <w:tabs>
          <w:tab w:val="clear" w:pos="708"/>
          <w:tab w:val="left" w:pos="3402" w:leader="none"/>
          <w:tab w:val="left" w:pos="4536" w:leader="none"/>
        </w:tabs>
        <w:rPr>
          <w:rFonts w:eastAsia="Arial Unicode MS"/>
        </w:rPr>
      </w:pPr>
      <w:r>
        <w:rPr>
          <w:rFonts w:eastAsia="Arial Unicode MS"/>
        </w:rPr>
        <w:tab/>
        <w:t>92220 BAGNEUX</w:t>
      </w:r>
    </w:p>
    <w:p>
      <w:pPr>
        <w:pStyle w:val="Normal"/>
        <w:tabs>
          <w:tab w:val="clear" w:pos="708"/>
          <w:tab w:val="left" w:pos="3402" w:leader="none"/>
          <w:tab w:val="left" w:pos="4536" w:leader="none"/>
          <w:tab w:val="left" w:pos="5670" w:leader="none"/>
        </w:tabs>
        <w:rPr>
          <w:rFonts w:eastAsia="Arial Unicode MS"/>
        </w:rPr>
      </w:pPr>
      <w:r>
        <w:rPr>
          <w:rFonts w:eastAsia="Arial Unicode MS"/>
        </w:rPr>
      </w:r>
    </w:p>
    <w:p>
      <w:pPr>
        <w:pStyle w:val="Normal"/>
        <w:tabs>
          <w:tab w:val="clear" w:pos="708"/>
          <w:tab w:val="left" w:pos="3402" w:leader="none"/>
          <w:tab w:val="left" w:pos="4536" w:leader="none"/>
          <w:tab w:val="left" w:pos="5670" w:leader="none"/>
        </w:tabs>
        <w:rPr>
          <w:rFonts w:eastAsia="Arial Unicode MS"/>
        </w:rPr>
      </w:pPr>
      <w:r>
        <w:rPr>
          <w:rFonts w:eastAsia="Arial Unicode MS"/>
        </w:rPr>
      </w:r>
    </w:p>
    <w:p>
      <w:pPr>
        <w:pStyle w:val="Normal"/>
        <w:tabs>
          <w:tab w:val="clear" w:pos="708"/>
          <w:tab w:val="left" w:pos="3402" w:leader="none"/>
          <w:tab w:val="left" w:pos="4536" w:leader="none"/>
          <w:tab w:val="left" w:pos="5670" w:leader="none"/>
        </w:tabs>
        <w:rPr>
          <w:rFonts w:eastAsia="Arial Unicode MS"/>
        </w:rPr>
      </w:pPr>
      <w:r>
        <w:rPr>
          <w:rFonts w:eastAsia="Arial Unicode MS"/>
        </w:rPr>
        <w:tab/>
        <w:t>Représentée par Monsieur Jean-Philippe SORRIAUX</w:t>
      </w:r>
    </w:p>
    <w:p>
      <w:pPr>
        <w:pStyle w:val="Normal"/>
        <w:tabs>
          <w:tab w:val="clear" w:pos="708"/>
          <w:tab w:val="left" w:pos="3402" w:leader="none"/>
          <w:tab w:val="left" w:pos="4536" w:leader="none"/>
          <w:tab w:val="left" w:pos="5670" w:leader="none"/>
        </w:tabs>
        <w:rPr>
          <w:rFonts w:eastAsia="Arial Unicode MS"/>
        </w:rPr>
      </w:pPr>
      <w:r>
        <w:rPr>
          <w:rFonts w:eastAsia="Arial Unicode MS"/>
        </w:rPr>
        <w:tab/>
        <w:t>Directeur du Service de Suite et d’Accompagnement</w:t>
      </w:r>
    </w:p>
    <w:p>
      <w:pPr>
        <w:pStyle w:val="Normal"/>
        <w:tabs>
          <w:tab w:val="clear" w:pos="708"/>
          <w:tab w:val="left" w:pos="3402" w:leader="none"/>
          <w:tab w:val="left" w:pos="4536" w:leader="none"/>
          <w:tab w:val="left" w:pos="5670" w:leader="none"/>
        </w:tabs>
        <w:rPr>
          <w:rFonts w:eastAsia="Arial Unicode MS"/>
        </w:rPr>
      </w:pPr>
      <w:r>
        <w:rPr>
          <w:rFonts w:eastAsia="Arial Unicode MS"/>
        </w:rPr>
        <w:tab/>
        <w:t>48-50 avenue Victor HUGO</w:t>
      </w:r>
    </w:p>
    <w:p>
      <w:pPr>
        <w:pStyle w:val="Normal"/>
        <w:tabs>
          <w:tab w:val="clear" w:pos="708"/>
          <w:tab w:val="left" w:pos="3402" w:leader="none"/>
          <w:tab w:val="left" w:pos="4536" w:leader="none"/>
          <w:tab w:val="left" w:pos="5670" w:leader="none"/>
        </w:tabs>
        <w:rPr>
          <w:rFonts w:eastAsia="Arial Unicode MS"/>
        </w:rPr>
      </w:pPr>
      <w:r>
        <w:rPr>
          <w:rFonts w:eastAsia="Arial Unicode MS"/>
        </w:rPr>
        <w:tab/>
        <w:t>92220 BAGNEUX</w:t>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5670" w:leader="none"/>
        </w:tabs>
        <w:rPr>
          <w:rFonts w:eastAsia="Arial Unicode MS"/>
        </w:rPr>
      </w:pPr>
      <w:r>
        <w:rPr>
          <w:rFonts w:eastAsia="Arial Unicode MS"/>
        </w:rPr>
      </w:r>
    </w:p>
    <w:p>
      <w:pPr>
        <w:pStyle w:val="Normal"/>
        <w:tabs>
          <w:tab w:val="clear" w:pos="708"/>
          <w:tab w:val="left" w:pos="2880" w:leader="none"/>
          <w:tab w:val="left" w:pos="9072" w:leader="dot"/>
        </w:tabs>
        <w:rPr>
          <w:rFonts w:eastAsia="Arial Unicode MS"/>
        </w:rPr>
      </w:pPr>
      <w:r>
        <w:rPr>
          <w:rFonts w:eastAsia="Arial Unicode MS"/>
        </w:rPr>
        <w:t>Concernant : Mme, Mlle, M.</w:t>
        <w:tab/>
        <w:tab/>
      </w:r>
    </w:p>
    <w:p>
      <w:pPr>
        <w:pStyle w:val="Normal"/>
        <w:tabs>
          <w:tab w:val="clear" w:pos="708"/>
          <w:tab w:val="left" w:pos="2880" w:leader="none"/>
          <w:tab w:val="left" w:pos="9072" w:leader="dot"/>
        </w:tabs>
        <w:rPr>
          <w:rFonts w:eastAsia="Arial Unicode MS"/>
        </w:rPr>
      </w:pPr>
      <w:r>
        <w:rPr>
          <w:rFonts w:eastAsia="Arial Unicode MS"/>
        </w:rPr>
      </w:r>
    </w:p>
    <w:p>
      <w:pPr>
        <w:pStyle w:val="Normal"/>
        <w:tabs>
          <w:tab w:val="clear" w:pos="708"/>
          <w:tab w:val="left" w:pos="2880" w:leader="none"/>
          <w:tab w:val="left" w:pos="9072" w:leader="dot"/>
        </w:tabs>
        <w:rPr>
          <w:rFonts w:eastAsia="Arial Unicode MS"/>
        </w:rPr>
      </w:pPr>
      <w:r>
        <w:rPr>
          <w:rFonts w:eastAsia="Arial Unicode MS"/>
        </w:rPr>
      </w:r>
    </w:p>
    <w:p>
      <w:pPr>
        <w:pStyle w:val="Normal"/>
        <w:tabs>
          <w:tab w:val="clear" w:pos="708"/>
          <w:tab w:val="left" w:pos="2880" w:leader="none"/>
          <w:tab w:val="left" w:pos="9072" w:leader="dot"/>
        </w:tabs>
        <w:rPr>
          <w:rFonts w:eastAsia="Arial Unicode MS"/>
        </w:rPr>
      </w:pPr>
      <w:r>
        <w:rPr>
          <w:rFonts w:eastAsia="Arial Unicode MS"/>
        </w:rPr>
      </w:r>
    </w:p>
    <w:p>
      <w:pPr>
        <w:pStyle w:val="Normal"/>
        <w:tabs>
          <w:tab w:val="clear" w:pos="708"/>
          <w:tab w:val="left" w:pos="567" w:leader="none"/>
        </w:tabs>
        <w:jc w:val="both"/>
        <w:rPr>
          <w:rFonts w:eastAsia="Arial Unicode MS"/>
        </w:rPr>
      </w:pPr>
      <w:r>
        <w:rPr>
          <w:rFonts w:eastAsia="Arial Unicode MS"/>
        </w:rPr>
        <w:t>L’association Espérance Hauts-de-Seine gère un Service de Suite et d’Accompagnement (SSA) qui accompagne des personnes adultes handicapées psychiques disposant d’un logement personnel ou d’une colocation en appartement associatif et dont le niveau de stabilisation permet la pérennisation de cette vie sociale autonome.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67" w:leader="none"/>
        </w:tabs>
        <w:jc w:val="both"/>
        <w:rPr>
          <w:rFonts w:eastAsia="Arial Unicode MS"/>
        </w:rPr>
      </w:pPr>
      <w:r>
        <w:rPr>
          <w:rFonts w:eastAsia="Arial Unicode MS"/>
        </w:rPr>
        <w:t>Le SSA est un Service d’Accompagnement à la Vie Sociale (S.A.V.S.) dont l’objectif est de répondre aux besoins exprimés par les usagers dans différents domaines de leur vie pour favoriser le maintien et le développement de leur autonomie, de leur bien être et de leur aisance sociale.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67" w:leader="none"/>
        </w:tabs>
        <w:jc w:val="both"/>
        <w:rPr>
          <w:rFonts w:eastAsia="Arial Unicode MS"/>
        </w:rPr>
      </w:pPr>
      <w:r>
        <w:rPr>
          <w:rFonts w:eastAsia="Arial Unicode MS"/>
        </w:rPr>
        <w:t>En fonction de leurs besoins spécifiques, les bénéficiaires peuvent être épaulés, conseillés ou accompagnés concrètement :</w:t>
      </w:r>
    </w:p>
    <w:p>
      <w:pPr>
        <w:pStyle w:val="Normal"/>
        <w:numPr>
          <w:ilvl w:val="0"/>
          <w:numId w:val="25"/>
        </w:numPr>
        <w:tabs>
          <w:tab w:val="clear" w:pos="708"/>
          <w:tab w:val="left" w:pos="567" w:leader="none"/>
        </w:tabs>
        <w:jc w:val="both"/>
        <w:rPr>
          <w:rFonts w:eastAsia="Arial Unicode MS"/>
        </w:rPr>
      </w:pPr>
      <w:r>
        <w:rPr>
          <w:rFonts w:eastAsia="Arial Unicode MS"/>
        </w:rPr>
        <w:t>dans divers aspects de la vie quotidienne : logement, hygiène, alimentation, sécurité, entretien…</w:t>
      </w:r>
    </w:p>
    <w:p>
      <w:pPr>
        <w:pStyle w:val="Normal"/>
        <w:numPr>
          <w:ilvl w:val="0"/>
          <w:numId w:val="25"/>
        </w:numPr>
        <w:tabs>
          <w:tab w:val="clear" w:pos="708"/>
          <w:tab w:val="left" w:pos="567" w:leader="none"/>
        </w:tabs>
        <w:jc w:val="both"/>
        <w:rPr>
          <w:rFonts w:eastAsia="Arial Unicode MS"/>
        </w:rPr>
      </w:pPr>
      <w:r>
        <w:rPr>
          <w:rFonts w:eastAsia="Arial Unicode MS"/>
        </w:rPr>
        <w:t>dans leur gestion administrative et financière</w:t>
      </w:r>
    </w:p>
    <w:p>
      <w:pPr>
        <w:pStyle w:val="Normal"/>
        <w:numPr>
          <w:ilvl w:val="0"/>
          <w:numId w:val="25"/>
        </w:numPr>
        <w:tabs>
          <w:tab w:val="clear" w:pos="708"/>
          <w:tab w:val="left" w:pos="567" w:leader="none"/>
        </w:tabs>
        <w:jc w:val="both"/>
        <w:rPr>
          <w:rFonts w:eastAsia="Arial Unicode MS"/>
        </w:rPr>
      </w:pPr>
      <w:r>
        <w:rPr>
          <w:rFonts w:eastAsia="Arial Unicode MS"/>
        </w:rPr>
        <w:t>dans leurs relations avec tous leurs interlocuteurs : curateur, CAF, CPAM, équipe médicale, bailleur, famille, services sociaux…</w:t>
      </w:r>
    </w:p>
    <w:p>
      <w:pPr>
        <w:pStyle w:val="Normal"/>
        <w:numPr>
          <w:ilvl w:val="0"/>
          <w:numId w:val="25"/>
        </w:numPr>
        <w:tabs>
          <w:tab w:val="clear" w:pos="708"/>
          <w:tab w:val="left" w:pos="567" w:leader="none"/>
        </w:tabs>
        <w:jc w:val="both"/>
        <w:rPr>
          <w:rFonts w:eastAsia="Arial Unicode MS"/>
        </w:rPr>
      </w:pPr>
      <w:r>
        <w:rPr>
          <w:rFonts w:eastAsia="Arial Unicode MS"/>
        </w:rPr>
        <w:t>dans leur insertion professionnelle</w:t>
      </w:r>
    </w:p>
    <w:p>
      <w:pPr>
        <w:pStyle w:val="Normal"/>
        <w:numPr>
          <w:ilvl w:val="0"/>
          <w:numId w:val="25"/>
        </w:numPr>
        <w:tabs>
          <w:tab w:val="clear" w:pos="708"/>
          <w:tab w:val="left" w:pos="567" w:leader="none"/>
        </w:tabs>
        <w:jc w:val="both"/>
        <w:rPr>
          <w:rFonts w:eastAsia="Arial Unicode MS"/>
        </w:rPr>
      </w:pPr>
      <w:r>
        <w:rPr>
          <w:rFonts w:eastAsia="Arial Unicode MS"/>
        </w:rPr>
        <w:t>dans leur intégration sociale par des animations culturelles et des loisirs proposés chaque week-end (qui peuvent être complétées par des participations aux Groupes d’Entraide Mutuelle (G.E.M.)</w:t>
      </w:r>
    </w:p>
    <w:p>
      <w:pPr>
        <w:pStyle w:val="Normal"/>
        <w:tabs>
          <w:tab w:val="clear" w:pos="708"/>
          <w:tab w:val="left" w:pos="567" w:leader="none"/>
        </w:tabs>
        <w:ind w:left="360" w:hanging="0"/>
        <w:rPr>
          <w:rFonts w:eastAsia="Arial Unicode MS"/>
        </w:rPr>
      </w:pPr>
      <w:r>
        <w:rPr>
          <w:rFonts w:eastAsia="Arial Unicode MS"/>
        </w:rPr>
      </w:r>
    </w:p>
    <w:p>
      <w:pPr>
        <w:pStyle w:val="Normal"/>
        <w:tabs>
          <w:tab w:val="clear" w:pos="708"/>
          <w:tab w:val="left" w:pos="567" w:leader="none"/>
        </w:tabs>
        <w:jc w:val="both"/>
        <w:rPr>
          <w:rFonts w:eastAsia="Arial Unicode MS"/>
          <w:b/>
          <w:b/>
          <w:bCs/>
        </w:rPr>
      </w:pPr>
      <w:r>
        <w:rPr>
          <w:rFonts w:eastAsia="Arial Unicode MS"/>
          <w:b/>
          <w:bCs/>
        </w:rPr>
        <w:t>Article 1 : Référence au secteur d’origine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6237" w:leader="none"/>
          <w:tab w:val="left" w:pos="9000" w:leader="dot"/>
        </w:tabs>
        <w:jc w:val="both"/>
        <w:rPr>
          <w:rFonts w:eastAsia="Arial Unicode MS"/>
        </w:rPr>
      </w:pPr>
      <w:r>
        <w:rPr>
          <w:rFonts w:eastAsia="Arial Unicode MS"/>
        </w:rPr>
        <w:t>Avec la connaissance qu’ils ont de la situation de Mme, Mlle, M.</w:t>
        <w:tab/>
        <w:t>, le psychiatre référent et l’équipe de secteur confirment que son insertion dans un logement personnel ou un appartement en colocation est une indication qui correspond à ses capacités et à son niveau de stabilisation.</w:t>
      </w:r>
    </w:p>
    <w:p>
      <w:pPr>
        <w:pStyle w:val="Normal"/>
        <w:tabs>
          <w:tab w:val="clear" w:pos="708"/>
          <w:tab w:val="left" w:pos="6237" w:leader="none"/>
          <w:tab w:val="left" w:pos="9000" w:leader="dot"/>
        </w:tabs>
        <w:jc w:val="both"/>
        <w:rPr>
          <w:rFonts w:eastAsia="Arial Unicode MS"/>
        </w:rPr>
      </w:pPr>
      <w:r>
        <w:rPr>
          <w:rFonts w:eastAsia="Arial Unicode MS"/>
        </w:rPr>
        <w:t>Ce qui implique :</w:t>
      </w:r>
    </w:p>
    <w:p>
      <w:pPr>
        <w:pStyle w:val="Normal"/>
        <w:tabs>
          <w:tab w:val="clear" w:pos="708"/>
          <w:tab w:val="left" w:pos="6237" w:leader="none"/>
          <w:tab w:val="left" w:pos="9000" w:leader="dot"/>
        </w:tabs>
        <w:jc w:val="both"/>
        <w:rPr>
          <w:rFonts w:eastAsia="Arial Unicode MS"/>
        </w:rPr>
      </w:pPr>
      <w:r>
        <w:rPr>
          <w:rFonts w:eastAsia="Arial Unicode MS"/>
        </w:rPr>
        <w:t>ou bien une bonne compliance au traitement et une capacité à le prendre seul de façon autonome</w:t>
      </w:r>
    </w:p>
    <w:p>
      <w:pPr>
        <w:pStyle w:val="Normal"/>
        <w:tabs>
          <w:tab w:val="clear" w:pos="708"/>
          <w:tab w:val="left" w:pos="6237" w:leader="none"/>
          <w:tab w:val="left" w:pos="9000" w:leader="dot"/>
        </w:tabs>
        <w:jc w:val="both"/>
        <w:rPr>
          <w:rFonts w:eastAsia="Arial Unicode MS"/>
        </w:rPr>
      </w:pPr>
      <w:r>
        <w:rPr>
          <w:rFonts w:eastAsia="Arial Unicode MS"/>
        </w:rPr>
        <w:t>ou bien que le psychiatre référent cherche à mettre en place les modalités d’administration adaptées à chaque situation (Traitement oral, traitement retard, prescription d’une distribution par infirmière DE, ou toute autre modalité appropriée…).</w:t>
      </w:r>
    </w:p>
    <w:p>
      <w:pPr>
        <w:pStyle w:val="Normal"/>
        <w:tabs>
          <w:tab w:val="clear" w:pos="708"/>
          <w:tab w:val="left" w:pos="6237" w:leader="none"/>
          <w:tab w:val="left" w:pos="9000" w:leader="dot"/>
        </w:tabs>
        <w:jc w:val="both"/>
        <w:rPr>
          <w:rFonts w:eastAsia="Arial Unicode MS"/>
        </w:rPr>
      </w:pPr>
      <w:r>
        <w:rPr>
          <w:rFonts w:eastAsia="Arial Unicode MS"/>
        </w:rPr>
        <w:t>Si cette question de l’observance du traitement est problématique elle peut justifier une orientation (ou une réorientation) en SAMSAH</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 xml:space="preserve">Il est convenu que le secteur psychiatrique 92 G….. poursuivra ses soins auprès de Mme, Mlle, M. </w:t>
        <w:tab/>
        <w:tab/>
        <w:t xml:space="preserve"> qui bénéficie de l’accompagnement du SSA de Bagneux.</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2 : Admission</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La commission d’admission composée de la direction, du responsable du Service de Suite et d’Accompagnement et du médecin psychiatre du Service, propose l’admission au SSA en référence :</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l’avis CDAPH notifiée par la MDPH</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un état de stabilisation et de capacités compatible avec une vie autonome en logement personnel ou en appartement en colocation</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 demande personnelle du futur bénéficiaire indiquant les domaines dans lesquels il compte sur l’aide du SSA</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l’élaboration d’un projet de vie et des moyens de sa réalisation</w:t>
      </w:r>
    </w:p>
    <w:p>
      <w:pPr>
        <w:pStyle w:val="Normal"/>
        <w:numPr>
          <w:ilvl w:val="0"/>
          <w:numId w:val="26"/>
        </w:numPr>
        <w:tabs>
          <w:tab w:val="clear" w:pos="708"/>
          <w:tab w:val="left" w:pos="540" w:leader="none"/>
          <w:tab w:val="left" w:pos="3969" w:leader="dot"/>
        </w:tabs>
        <w:jc w:val="both"/>
        <w:rPr>
          <w:rFonts w:eastAsia="Arial Unicode MS"/>
        </w:rPr>
      </w:pPr>
      <w:r>
        <w:rPr>
          <w:rFonts w:eastAsia="Arial Unicode MS"/>
        </w:rPr>
        <w:t>à la signature de la présente convention</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3 : Coopération des intervenants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Afin d’assurer aux usagers du SSA l’accompagnement le mieux adapté à leurs besoins, l’équipe de Secteur et le SSA s’engagent à se communiquer mutuellement, dans le respect du secret professionnel conformément aux dispositions figurant en annexe, toutes les informations indispensables à leur prise en charge.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Parmi ces informations figurent notamment :</w:t>
      </w:r>
    </w:p>
    <w:p>
      <w:pPr>
        <w:pStyle w:val="Normal"/>
        <w:numPr>
          <w:ilvl w:val="0"/>
          <w:numId w:val="25"/>
        </w:numPr>
        <w:tabs>
          <w:tab w:val="clear" w:pos="708"/>
          <w:tab w:val="left" w:pos="540" w:leader="none"/>
          <w:tab w:val="left" w:pos="3969" w:leader="dot"/>
        </w:tabs>
        <w:jc w:val="both"/>
        <w:rPr>
          <w:rFonts w:eastAsia="Arial Unicode MS"/>
        </w:rPr>
      </w:pPr>
      <w:r>
        <w:rPr>
          <w:rFonts w:eastAsia="Arial Unicode MS"/>
        </w:rPr>
        <w:t>que le SSA informe en temps utile le secteur des situations de déstabilisation</w:t>
      </w:r>
    </w:p>
    <w:p>
      <w:pPr>
        <w:pStyle w:val="Normal"/>
        <w:numPr>
          <w:ilvl w:val="0"/>
          <w:numId w:val="25"/>
        </w:numPr>
        <w:tabs>
          <w:tab w:val="clear" w:pos="708"/>
          <w:tab w:val="left" w:pos="540" w:leader="none"/>
          <w:tab w:val="left" w:pos="3969" w:leader="dot"/>
        </w:tabs>
        <w:jc w:val="both"/>
        <w:rPr>
          <w:rFonts w:eastAsia="Arial Unicode MS"/>
        </w:rPr>
      </w:pPr>
      <w:r>
        <w:rPr>
          <w:rFonts w:eastAsia="Arial Unicode MS"/>
        </w:rPr>
        <w:t>que le SSA transmette au Psychiatre référent le Projet d’Accompagnement Personnalisé (PAP) initial ainsi que ses réajustements annuels successifs</w:t>
      </w:r>
    </w:p>
    <w:p>
      <w:pPr>
        <w:pStyle w:val="Normal"/>
        <w:numPr>
          <w:ilvl w:val="0"/>
          <w:numId w:val="25"/>
        </w:numPr>
        <w:tabs>
          <w:tab w:val="clear" w:pos="708"/>
          <w:tab w:val="left" w:pos="540" w:leader="none"/>
          <w:tab w:val="left" w:pos="3969" w:leader="dot"/>
        </w:tabs>
        <w:jc w:val="both"/>
        <w:rPr>
          <w:rFonts w:eastAsia="Arial Unicode MS"/>
        </w:rPr>
      </w:pPr>
      <w:r>
        <w:rPr>
          <w:rFonts w:eastAsia="Arial Unicode MS"/>
        </w:rPr>
        <w:t>que le secteur comme le SSA s’informent mutuellement sans tarder dès perception de la rupture du suivi thérapeutique ou de la non observance de la prise du traitement</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sectPr>
          <w:footerReference w:type="default" r:id="rId29"/>
          <w:type w:val="nextPage"/>
          <w:pgSz w:w="11906" w:h="16838"/>
          <w:pgMar w:left="1417" w:right="1417" w:header="0" w:top="1417" w:footer="708" w:bottom="1417" w:gutter="0"/>
          <w:pgNumType w:fmt="decimal"/>
          <w:formProt w:val="false"/>
          <w:textDirection w:val="lrTb"/>
          <w:docGrid w:type="default" w:linePitch="360" w:charSpace="0"/>
        </w:sectPr>
        <w:pStyle w:val="Normal"/>
        <w:tabs>
          <w:tab w:val="clear" w:pos="708"/>
          <w:tab w:val="left" w:pos="540" w:leader="none"/>
          <w:tab w:val="left" w:pos="3969" w:leader="dot"/>
        </w:tabs>
        <w:jc w:val="both"/>
        <w:rPr>
          <w:rStyle w:val="Pagenumber"/>
        </w:rPr>
      </w:pPr>
      <w:r>
        <w:rPr>
          <w:rFonts w:eastAsia="Arial Unicode MS"/>
        </w:rPr>
        <w:t>Lors de situations particulières le nécessitant, des réunions de synthèse, avec la participation de la personne concernée, pourront être organisées à la demande de chacun des trois interlocuteurs.</w:t>
      </w:r>
    </w:p>
    <w:p>
      <w:pPr>
        <w:pStyle w:val="Normal"/>
        <w:tabs>
          <w:tab w:val="clear" w:pos="708"/>
          <w:tab w:val="left" w:pos="540" w:leader="none"/>
          <w:tab w:val="left" w:pos="3969" w:leader="dot"/>
        </w:tabs>
        <w:jc w:val="both"/>
        <w:rPr>
          <w:rFonts w:eastAsia="Arial Unicode MS"/>
          <w:b/>
          <w:b/>
          <w:bCs/>
        </w:rPr>
      </w:pPr>
      <w:r>
        <w:rPr>
          <w:rFonts w:eastAsia="Arial Unicode MS"/>
          <w:b/>
          <w:bCs/>
        </w:rPr>
        <w:t>Article 4 : Règles de fonctionnement</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Un règlement de fonctionnement régit les droits, devoirs et relations des usagers et des professionnels du SSA. Ce règlement est porté à la connaissance du psychiatre du secteur 92 G …… Le règlement de fonctionnement, rédigé conformément aux règles légales en vigueur, mentionne la participation et l’organisation des diverses instances participatives : conseil à la vie sociale, redéfinition annuelle du PAP, questionnaire de satisfaction…</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Pour les usagers qui bénéficient d’un appartement associatif en colocation un règlement intérieur spécifique et un vademecum de vie pratique pour définir les relations, les engagements et le respect mutuel entre colocataires complètent ces repères. Ils sont aussi portés à la connaissance du psychiatre référent.</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5 : Soins et hospitalisations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Les usagers du SSA bénéficient d’un suivi régulier tel que prévu avec leur psychiatre référent et avec l’équipe de Secteur.</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En cas de nécessité, les hospitalisations s’effectueront dans l’établissement hospitalier rattaché au secteur 92 G ….</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En cas d’hospitalisation, l’accompagnement par le SSA se poursuit et le contact avec la personne est maintenu par des visites à l’hôpital régulières (sauf avis contraire de l’équipe soignante). Pour que cet accompagnement puisse se mettre rapidement en place, l’équipe soignante veillera à tenir informé le SSA dès le début de l’hospitalisation.</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rPr>
      </w:pPr>
      <w:r>
        <w:rPr>
          <w:rFonts w:eastAsia="Arial Unicode MS"/>
        </w:rPr>
        <w:t>Il est souhaitable que l’équipe du SSA soit avertie de la fin de l’hospitalisation pour pouvoir, en temps utile et de façon adaptée, épauler la personne lors de son retour à son domicile.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En cas de situation de blocage avec le SSA (évitements ou refus durables et répétés de rendez-vous…) ou en cas de situation de crise ou d’urgence, l’équipe du secteur s’engage à apporter son appui au SSA soit par une consultation rapide, soit par une intervention en VAD, soit, si nécessaire par une coordination efficace pour réaliser une hospitalisation dans de bonnes conditions.</w:t>
      </w:r>
    </w:p>
    <w:p>
      <w:pPr>
        <w:pStyle w:val="Normal"/>
        <w:tabs>
          <w:tab w:val="clear" w:pos="708"/>
          <w:tab w:val="left" w:pos="540" w:leader="none"/>
          <w:tab w:val="left" w:pos="3969" w:leader="dot"/>
        </w:tabs>
        <w:jc w:val="both"/>
        <w:rPr>
          <w:rFonts w:eastAsia="Arial Unicode MS"/>
        </w:rPr>
      </w:pPr>
      <w:r>
        <w:rPr>
          <w:rFonts w:eastAsia="Arial Unicode MS"/>
        </w:rPr>
      </w:r>
    </w:p>
    <w:p>
      <w:pPr>
        <w:pStyle w:val="Normal"/>
        <w:tabs>
          <w:tab w:val="clear" w:pos="708"/>
          <w:tab w:val="left" w:pos="540" w:leader="none"/>
          <w:tab w:val="left" w:pos="3969" w:leader="dot"/>
        </w:tabs>
        <w:jc w:val="both"/>
        <w:rPr>
          <w:rFonts w:eastAsia="Arial Unicode MS"/>
          <w:b/>
          <w:b/>
          <w:bCs/>
        </w:rPr>
      </w:pPr>
      <w:r>
        <w:rPr>
          <w:rFonts w:eastAsia="Arial Unicode MS"/>
          <w:b/>
          <w:bCs/>
        </w:rPr>
        <w:t>Article 6 : Relais</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Après installation durable ou définitive, le secteur d’origine pourra se mettre en relation avec le secteur d’implantation pour transmettre tous les éléments nécessaires et pour se mettre d’accord sur la prise de relais du suivi thérapeutique.</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40" w:leader="none"/>
          <w:tab w:val="left" w:pos="3969" w:leader="dot"/>
        </w:tabs>
        <w:jc w:val="both"/>
        <w:rPr>
          <w:rFonts w:eastAsia="Arial Unicode MS"/>
        </w:rPr>
      </w:pPr>
      <w:r>
        <w:rPr>
          <w:rFonts w:eastAsia="Arial Unicode MS"/>
        </w:rPr>
        <w:t>Le SSA devra en être informé. Le secteur d’implantation confirmera ce relais en acceptant de signer une nouvelle convention.</w:t>
      </w:r>
    </w:p>
    <w:p>
      <w:pPr>
        <w:pStyle w:val="Normal"/>
        <w:tabs>
          <w:tab w:val="clear" w:pos="708"/>
          <w:tab w:val="left" w:pos="540" w:leader="none"/>
          <w:tab w:val="left" w:pos="3969" w:leader="dot"/>
        </w:tabs>
        <w:jc w:val="both"/>
        <w:rPr>
          <w:rFonts w:eastAsia="Arial Unicode MS"/>
          <w:sz w:val="16"/>
          <w:szCs w:val="16"/>
        </w:rPr>
      </w:pPr>
      <w:r>
        <w:rPr>
          <w:rFonts w:eastAsia="Arial Unicode MS"/>
          <w:sz w:val="16"/>
          <w:szCs w:val="16"/>
        </w:rPr>
      </w:r>
    </w:p>
    <w:p>
      <w:pPr>
        <w:pStyle w:val="Normal"/>
        <w:tabs>
          <w:tab w:val="clear" w:pos="708"/>
          <w:tab w:val="left" w:pos="5103" w:leader="none"/>
          <w:tab w:val="left" w:pos="5670" w:leader="none"/>
          <w:tab w:val="left" w:pos="9072" w:leader="dot"/>
        </w:tabs>
        <w:jc w:val="both"/>
        <w:rPr>
          <w:rFonts w:eastAsia="Arial Unicode MS"/>
        </w:rPr>
      </w:pPr>
      <w:r>
        <w:rPr>
          <w:rFonts w:eastAsia="Arial Unicode MS"/>
        </w:rPr>
        <w:tab/>
        <w:t xml:space="preserve">Fait à </w:t>
        <w:tab/>
      </w:r>
    </w:p>
    <w:p>
      <w:pPr>
        <w:pStyle w:val="Normal"/>
        <w:tabs>
          <w:tab w:val="clear" w:pos="708"/>
          <w:tab w:val="left" w:pos="5103" w:leader="none"/>
          <w:tab w:val="left" w:pos="5670" w:leader="none"/>
          <w:tab w:val="left" w:pos="9072" w:leader="dot"/>
        </w:tabs>
        <w:jc w:val="both"/>
        <w:rPr>
          <w:rFonts w:eastAsia="Arial Unicode MS"/>
        </w:rPr>
      </w:pPr>
      <w:r>
        <w:rPr>
          <w:rFonts w:eastAsia="Arial Unicode MS"/>
        </w:rPr>
        <w:tab/>
        <w:t>Le</w:t>
        <w:tab/>
        <w:tab/>
      </w:r>
    </w:p>
    <w:p>
      <w:pPr>
        <w:pStyle w:val="Normal"/>
        <w:tabs>
          <w:tab w:val="clear" w:pos="708"/>
          <w:tab w:val="left" w:pos="5103" w:leader="none"/>
          <w:tab w:val="left" w:pos="5670" w:leader="none"/>
          <w:tab w:val="left" w:pos="6300" w:leader="none"/>
          <w:tab w:val="left" w:pos="9072" w:leader="dot"/>
        </w:tabs>
        <w:jc w:val="both"/>
        <w:rPr>
          <w:rFonts w:eastAsia="Arial Unicode MS"/>
          <w:sz w:val="16"/>
          <w:szCs w:val="16"/>
        </w:rPr>
      </w:pPr>
      <w:r>
        <w:rPr>
          <w:rFonts w:eastAsia="Arial Unicode MS"/>
          <w:sz w:val="16"/>
          <w:szCs w:val="16"/>
        </w:rPr>
      </w:r>
    </w:p>
    <w:p>
      <w:pPr>
        <w:pStyle w:val="Normal"/>
        <w:tabs>
          <w:tab w:val="clear" w:pos="708"/>
          <w:tab w:val="left" w:pos="5103" w:leader="none"/>
          <w:tab w:val="left" w:pos="5670" w:leader="none"/>
        </w:tabs>
        <w:jc w:val="both"/>
        <w:rPr>
          <w:rFonts w:eastAsia="Arial Unicode MS"/>
        </w:rPr>
      </w:pPr>
      <w:r>
        <w:rPr>
          <w:rFonts w:eastAsia="Arial Unicode MS"/>
        </w:rPr>
        <w:t>Le Secteur 92 G …….</w:t>
        <w:tab/>
        <w:t>L’Association Espérance Hauts-de-Seine</w:t>
      </w:r>
    </w:p>
    <w:p>
      <w:pPr>
        <w:pStyle w:val="Normal"/>
        <w:tabs>
          <w:tab w:val="clear" w:pos="708"/>
          <w:tab w:val="left" w:pos="5103" w:leader="none"/>
        </w:tabs>
        <w:jc w:val="both"/>
        <w:rPr>
          <w:rFonts w:eastAsia="Arial Unicode MS"/>
        </w:rPr>
      </w:pPr>
      <w:r>
        <w:rPr>
          <w:rFonts w:eastAsia="Arial Unicode MS"/>
        </w:rPr>
        <w:t>Représenté par</w:t>
        <w:tab/>
        <w:t>Représentée par</w:t>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t xml:space="preserve">le Docteur </w:t>
        <w:tab/>
        <w:tab/>
        <w:tab/>
        <w:t>M. Jean-Philippe SORRIAUX</w:t>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pStyle w:val="Normal"/>
        <w:tabs>
          <w:tab w:val="clear" w:pos="708"/>
          <w:tab w:val="left" w:pos="1080" w:leader="none"/>
          <w:tab w:val="left" w:pos="4320" w:leader="dot"/>
          <w:tab w:val="left" w:pos="5103" w:leader="none"/>
        </w:tabs>
        <w:jc w:val="both"/>
        <w:rPr>
          <w:rFonts w:eastAsia="Arial Unicode MS"/>
        </w:rPr>
      </w:pPr>
      <w:r>
        <w:rPr>
          <w:rFonts w:eastAsia="Arial Unicode MS"/>
        </w:rPr>
      </w:r>
    </w:p>
    <w:p>
      <w:pPr>
        <w:sectPr>
          <w:footerReference w:type="default" r:id="rId30"/>
          <w:type w:val="nextPage"/>
          <w:pgSz w:w="11906" w:h="16838"/>
          <w:pgMar w:left="1417" w:right="1417" w:header="0" w:top="1417" w:footer="708" w:bottom="1417" w:gutter="0"/>
          <w:pgNumType w:fmt="decimal"/>
          <w:formProt w:val="false"/>
          <w:textDirection w:val="lrTb"/>
          <w:docGrid w:type="default" w:linePitch="360" w:charSpace="0"/>
        </w:sectPr>
        <w:pStyle w:val="Normal"/>
        <w:tabs>
          <w:tab w:val="clear" w:pos="708"/>
          <w:tab w:val="left" w:pos="1134" w:leader="none"/>
          <w:tab w:val="left" w:pos="4320" w:leader="none"/>
          <w:tab w:val="left" w:pos="7371" w:leader="dot"/>
        </w:tabs>
        <w:jc w:val="both"/>
        <w:rPr>
          <w:rFonts w:eastAsia="Arial Unicode MS"/>
        </w:rPr>
      </w:pPr>
      <w:r>
        <w:rPr>
          <w:rFonts w:eastAsia="Arial Unicode MS"/>
        </w:rPr>
        <w:tab/>
        <w:t xml:space="preserve">en accord avec Mme, Mlle, M. </w:t>
        <w:tab/>
        <w:tab/>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rPr>
          <w:b/>
          <w:b/>
          <w:bCs/>
          <w:sz w:val="28"/>
        </w:rPr>
      </w:pPr>
      <w:r>
        <w:rPr>
          <w:b/>
          <w:bCs/>
          <w:sz w:val="28"/>
        </w:rPr>
      </w:r>
    </w:p>
    <w:p>
      <w:pPr>
        <w:pStyle w:val="Normal"/>
        <w:tabs>
          <w:tab w:val="clear" w:pos="708"/>
          <w:tab w:val="left" w:pos="2835" w:leader="none"/>
          <w:tab w:val="left" w:pos="9072" w:leader="dot"/>
        </w:tabs>
        <w:jc w:val="both"/>
        <w:rPr>
          <w:b/>
          <w:b/>
          <w:bCs/>
          <w:sz w:val="28"/>
        </w:rPr>
      </w:pPr>
      <w:r>
        <w:rPr>
          <w:b/>
          <w:bCs/>
          <w:sz w:val="28"/>
        </w:rPr>
      </w:r>
    </w:p>
    <w:p>
      <w:pPr>
        <w:pStyle w:val="Normal"/>
        <w:tabs>
          <w:tab w:val="clear" w:pos="708"/>
          <w:tab w:val="left" w:pos="2835" w:leader="none"/>
          <w:tab w:val="left" w:pos="9072" w:leader="dot"/>
        </w:tabs>
        <w:rPr>
          <w:b/>
          <w:b/>
          <w:bCs/>
          <w:sz w:val="28"/>
        </w:rPr>
      </w:pPr>
      <w:r>
        <w:rPr>
          <w:b/>
          <w:bCs/>
          <w:sz w:val="28"/>
        </w:rPr>
        <w:t xml:space="preserve">ANNEXE A LA CONVENTION DU </w:t>
      </w:r>
      <w:r>
        <w:rPr/>
        <w:tab/>
      </w:r>
      <w:r>
        <w:rPr>
          <w:b/>
          <w:bCs/>
          <w:sz w:val="28"/>
        </w:rPr>
        <w:tab/>
      </w:r>
    </w:p>
    <w:p>
      <w:pPr>
        <w:pStyle w:val="Normal"/>
        <w:tabs>
          <w:tab w:val="clear" w:pos="708"/>
          <w:tab w:val="left" w:pos="2835" w:leader="none"/>
          <w:tab w:val="left" w:pos="9072" w:leader="dot"/>
        </w:tabs>
        <w:rPr/>
      </w:pPr>
      <w:r>
        <w:rPr/>
      </w:r>
    </w:p>
    <w:p>
      <w:pPr>
        <w:pStyle w:val="Normal"/>
        <w:tabs>
          <w:tab w:val="clear" w:pos="708"/>
          <w:tab w:val="left" w:pos="6237" w:leader="none"/>
          <w:tab w:val="left" w:pos="9000" w:leader="dot"/>
        </w:tabs>
        <w:jc w:val="both"/>
        <w:rPr>
          <w:rFonts w:eastAsia="Arial Unicode MS"/>
          <w:b/>
          <w:b/>
        </w:rPr>
      </w:pPr>
      <w:r>
        <w:rPr>
          <w:rFonts w:eastAsia="Arial Unicode MS"/>
          <w:b/>
        </w:rPr>
        <w:t>ENTRE LE SECTEUR ET L’ETABLISSEMENT MEDICO-SOCIAL RELATIVE AU SECRET MEDICAL ET PROFESSIONNEL ET A LA TRANSMISSION D’INFORMATIONS</w:t>
      </w:r>
    </w:p>
    <w:p>
      <w:pPr>
        <w:pStyle w:val="Normal"/>
        <w:tabs>
          <w:tab w:val="clear" w:pos="708"/>
          <w:tab w:val="left" w:pos="2835" w:leader="none"/>
          <w:tab w:val="left" w:pos="9072" w:leader="dot"/>
        </w:tabs>
        <w:rPr/>
      </w:pPr>
      <w:r>
        <w:rPr/>
      </w:r>
    </w:p>
    <w:p>
      <w:pPr>
        <w:pStyle w:val="Normal"/>
        <w:rPr/>
      </w:pPr>
      <w:r>
        <w:rPr/>
        <w:t>Conformément à l’article 7 de la charte des droits et  libertés de la personne accueillie et à l’article 8 de la Charte du patient hospitalisé, il est garanti à la personne accueillie comme à ses représentants légaux et à sa famille, par exemple des personnels ou personnes réalisant une prise en charge ou un accompagnement, le respect de la confidentialité des informations la concernant dans le cadre des lois existantes. Les données médicales, qui sont transmises aux médecins, sont protégées par le secret médical. Toutes les données personnelles qui viennent à la connaissance des personnels d’encadrement non soumis au secret médical sont protégées par le secret professionnel.</w:t>
      </w:r>
    </w:p>
    <w:p>
      <w:pPr>
        <w:pStyle w:val="Normal"/>
        <w:tabs>
          <w:tab w:val="clear" w:pos="708"/>
          <w:tab w:val="left" w:pos="2835" w:leader="none"/>
          <w:tab w:val="left" w:pos="9072" w:leader="dot"/>
        </w:tabs>
        <w:rPr/>
      </w:pPr>
      <w:r>
        <w:rPr/>
      </w:r>
    </w:p>
    <w:p>
      <w:pPr>
        <w:pStyle w:val="Normal"/>
        <w:rPr/>
      </w:pPr>
      <w:r>
        <w:rPr/>
        <w:t>Les parties reconnaissent que la transmission d’informations à tout tiers signalant un danger ou permettant de prévenir la réalisation d’un risque pour lui-même ou pour autrui ne relève pas de la violation du secret professionnel et/ou médical.</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Compte tenu de leurs domaines et des modalités d’interventions respectives, les parties conviennent d’échanger toute information, notamment nominative, utile à la prise en charge par l’autre partie.</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La transmission d’information se fera dans le respect de la réglementation en vigueur c’est-à-dire avec l’accord express et écrit de la personne prise en charge et/ou de son représentant légal.</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L’accord pour la transmission d’informations disparaît sans délai dans les cas suivants :</w:t>
      </w:r>
    </w:p>
    <w:p>
      <w:pPr>
        <w:pStyle w:val="Normal"/>
        <w:numPr>
          <w:ilvl w:val="0"/>
          <w:numId w:val="27"/>
        </w:numPr>
        <w:tabs>
          <w:tab w:val="clear" w:pos="708"/>
          <w:tab w:val="left" w:pos="2835" w:leader="none"/>
          <w:tab w:val="left" w:pos="9072" w:leader="dot"/>
        </w:tabs>
        <w:jc w:val="both"/>
        <w:rPr/>
      </w:pPr>
      <w:r>
        <w:rPr/>
        <w:t>Si la personne prise en charge révoque par écrit et sans motif son accord (sous réserve d’informer l’ensemble des parties).</w:t>
      </w:r>
    </w:p>
    <w:p>
      <w:pPr>
        <w:pStyle w:val="Normal"/>
        <w:numPr>
          <w:ilvl w:val="0"/>
          <w:numId w:val="27"/>
        </w:numPr>
        <w:tabs>
          <w:tab w:val="clear" w:pos="708"/>
          <w:tab w:val="left" w:pos="2835" w:leader="none"/>
          <w:tab w:val="left" w:pos="9072" w:leader="dot"/>
        </w:tabs>
        <w:jc w:val="both"/>
        <w:rPr/>
      </w:pPr>
      <w:r>
        <w:rPr/>
        <w:t>En cas de fin de prise en charge par l’une des parties et quel qu’en soit le motif.</w:t>
      </w:r>
    </w:p>
    <w:p>
      <w:pPr>
        <w:pStyle w:val="Normal"/>
        <w:numPr>
          <w:ilvl w:val="0"/>
          <w:numId w:val="27"/>
        </w:numPr>
        <w:tabs>
          <w:tab w:val="clear" w:pos="708"/>
          <w:tab w:val="left" w:pos="2835" w:leader="none"/>
          <w:tab w:val="left" w:pos="9072" w:leader="dot"/>
        </w:tabs>
        <w:jc w:val="both"/>
        <w:rPr/>
      </w:pPr>
      <w:r>
        <w:rPr/>
        <w:t>En cas de résiliation de la présente convention.</w:t>
      </w:r>
    </w:p>
    <w:p>
      <w:pPr>
        <w:pStyle w:val="Normal"/>
        <w:tabs>
          <w:tab w:val="clear" w:pos="708"/>
          <w:tab w:val="left" w:pos="2835" w:leader="none"/>
          <w:tab w:val="left" w:pos="9072" w:leader="dot"/>
        </w:tabs>
        <w:rPr/>
      </w:pPr>
      <w:r>
        <w:rPr/>
      </w:r>
    </w:p>
    <w:p>
      <w:pPr>
        <w:pStyle w:val="Normal"/>
        <w:tabs>
          <w:tab w:val="clear" w:pos="708"/>
          <w:tab w:val="left" w:pos="2835" w:leader="none"/>
          <w:tab w:val="left" w:pos="9072" w:leader="dot"/>
        </w:tabs>
        <w:rPr/>
      </w:pPr>
      <w:r>
        <w:rPr/>
        <w:t>En cas de disparition totale ou partielle de l’accord de transmission d’informations, chacune des parties examinera l’opportunité et/ou la faisabilité de poursuivre la prise en charge sur de nouvelles bases pour ce qui la concerne.</w:t>
      </w:r>
    </w:p>
    <w:p>
      <w:pPr>
        <w:pStyle w:val="Normal"/>
        <w:tabs>
          <w:tab w:val="clear" w:pos="708"/>
          <w:tab w:val="left" w:pos="1134" w:leader="none"/>
          <w:tab w:val="left" w:pos="4320" w:leader="none"/>
          <w:tab w:val="left" w:pos="7371" w:leader="dot"/>
        </w:tabs>
        <w:rPr>
          <w:rFonts w:eastAsia="Arial Unicode MS"/>
        </w:rPr>
      </w:pPr>
      <w:r>
        <w:rPr>
          <w:rFonts w:eastAsia="Arial Unicode MS"/>
        </w:rPr>
      </w:r>
    </w:p>
    <w:p>
      <w:pPr>
        <w:pStyle w:val="Normal"/>
        <w:tabs>
          <w:tab w:val="clear" w:pos="708"/>
          <w:tab w:val="left" w:pos="2835" w:leader="none"/>
          <w:tab w:val="left" w:pos="9072" w:leader="dot"/>
        </w:tabs>
        <w:jc w:val="both"/>
        <w:rPr>
          <w:rFonts w:eastAsia="Arial Unicode MS"/>
        </w:rPr>
      </w:pPr>
      <w:r>
        <w:rPr>
          <w:rFonts w:eastAsia="Arial Unicode MS"/>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1" name="Image 33" descr="C:\Users\MK\Desktop\projet suresnes\DOCS SAVS\contrat accompagnement_04102018_125250 (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3" descr="C:\Users\MK\Desktop\projet suresnes\DOCS SAVS\contrat accompagnement_04102018_125250 (3)_Page_1.jpg"/>
                    <pic:cNvPicPr>
                      <a:picLocks noChangeAspect="1" noChangeArrowheads="1"/>
                    </pic:cNvPicPr>
                  </pic:nvPicPr>
                  <pic:blipFill>
                    <a:blip r:embed="rId31"/>
                    <a:stretch>
                      <a:fillRect/>
                    </a:stretch>
                  </pic:blipFill>
                  <pic:spPr bwMode="auto">
                    <a:xfrm>
                      <a:off x="0" y="0"/>
                      <a:ext cx="5760085" cy="8177530"/>
                    </a:xfrm>
                    <a:prstGeom prst="rect">
                      <a:avLst/>
                    </a:prstGeom>
                  </pic:spPr>
                </pic:pic>
              </a:graphicData>
            </a:graphic>
          </wp:inline>
        </w:drawing>
      </w:r>
      <w:r>
        <w:br w:type="page"/>
      </w:r>
    </w:p>
    <w:p>
      <w:pPr>
        <w:pStyle w:val="Normal"/>
        <w:spacing w:lineRule="auto" w:line="276" w:before="0" w:after="200"/>
        <w:rPr/>
      </w:pPr>
      <w:r>
        <w:rPr/>
        <mc:AlternateContent>
          <mc:Choice Requires="wps">
            <w:drawing>
              <wp:anchor behindDoc="0" distT="0" distB="0" distL="114300" distR="114300" simplePos="0" locked="0" layoutInCell="1" allowOverlap="1" relativeHeight="4">
                <wp:simplePos x="0" y="0"/>
                <wp:positionH relativeFrom="column">
                  <wp:posOffset>89535</wp:posOffset>
                </wp:positionH>
                <wp:positionV relativeFrom="paragraph">
                  <wp:posOffset>-8153400</wp:posOffset>
                </wp:positionV>
                <wp:extent cx="1325245" cy="544195"/>
                <wp:effectExtent l="57150" t="38100" r="85725" b="104775"/>
                <wp:wrapNone/>
                <wp:docPr id="32" name="Rectangle 16"/>
                <a:graphic xmlns:a="http://schemas.openxmlformats.org/drawingml/2006/main">
                  <a:graphicData uri="http://schemas.microsoft.com/office/word/2010/wordprocessingShape">
                    <wps:wsp>
                      <wps:cNvSpPr/>
                      <wps:spPr>
                        <a:xfrm>
                          <a:off x="0" y="0"/>
                          <a:ext cx="1324440" cy="543600"/>
                        </a:xfrm>
                        <a:prstGeom prst="rect">
                          <a:avLst/>
                        </a:prstGeom>
                        <a:ln>
                          <a:round/>
                        </a:ln>
                        <a:effectLst>
                          <a:outerShdw blurRad="40000" dir="5400000" dist="20160" rotWithShape="0">
                            <a:srgbClr val="000000">
                              <a:alpha val="38000"/>
                            </a:srgbClr>
                          </a:outerShdw>
                        </a:effectLst>
                      </wps:spPr>
                      <wps:style>
                        <a:lnRef idx="1">
                          <a:schemeClr val="dk1"/>
                        </a:lnRef>
                        <a:fillRef idx="2">
                          <a:schemeClr val="dk1"/>
                        </a:fillRef>
                        <a:effectRef idx="1">
                          <a:schemeClr val="dk1"/>
                        </a:effectRef>
                        <a:fontRef idx="minor"/>
                      </wps:style>
                      <wps:txbx>
                        <w:txbxContent>
                          <w:p>
                            <w:pPr>
                              <w:pStyle w:val="Contenudecadre"/>
                              <w:jc w:val="center"/>
                              <w:rPr/>
                            </w:pPr>
                            <w:r>
                              <w:rPr>
                                <w:color w:val="000000"/>
                              </w:rPr>
                              <w:t>Exemple de contrat</w:t>
                            </w:r>
                          </w:p>
                        </w:txbxContent>
                      </wps:txbx>
                      <wps:bodyPr anchor="ctr">
                        <a:prstTxWarp prst="textNoShape"/>
                        <a:noAutofit/>
                      </wps:bodyPr>
                    </wps:wsp>
                  </a:graphicData>
                </a:graphic>
              </wp:anchor>
            </w:drawing>
          </mc:Choice>
          <mc:Fallback>
            <w:pict>
              <v:rect id="shape_0" ID="Rectangle 16" fillcolor="#d0d0d0" stroked="t" style="position:absolute;margin-left:7.05pt;margin-top:-642pt;width:104.25pt;height:42.75pt">
                <w10:wrap type="square"/>
                <v:fill o:detectmouseclick="t" color2="#ededed"/>
                <v:stroke color="black" weight="9360" joinstyle="round" endcap="flat"/>
                <v:shadow on="t" obscured="f" color="black"/>
                <v:textbox>
                  <w:txbxContent>
                    <w:p>
                      <w:pPr>
                        <w:pStyle w:val="Contenudecadre"/>
                        <w:jc w:val="center"/>
                        <w:rPr/>
                      </w:pPr>
                      <w:r>
                        <w:rPr>
                          <w:color w:val="000000"/>
                        </w:rPr>
                        <w:t>Exemple de contrat</w:t>
                      </w:r>
                    </w:p>
                  </w:txbxContent>
                </v:textbox>
              </v:rect>
            </w:pict>
          </mc:Fallback>
        </mc:AlternateContent>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4" name="Image 34" descr="C:\Users\MK\Desktop\projet suresnes\DOCS SAVS\contrat accompagnement_04102018_125250 (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C:\Users\MK\Desktop\projet suresnes\DOCS SAVS\contrat accompagnement_04102018_125250 (3)_Page_2.jpg"/>
                    <pic:cNvPicPr>
                      <a:picLocks noChangeAspect="1" noChangeArrowheads="1"/>
                    </pic:cNvPicPr>
                  </pic:nvPicPr>
                  <pic:blipFill>
                    <a:blip r:embed="rId32"/>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5" name="Image 35" descr="C:\Users\MK\Desktop\projet suresnes\DOCS SAVS\contrat accompagnement_04102018_125250 (3)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C:\Users\MK\Desktop\projet suresnes\DOCS SAVS\contrat accompagnement_04102018_125250 (3)_Page_3.jpg"/>
                    <pic:cNvPicPr>
                      <a:picLocks noChangeAspect="1" noChangeArrowheads="1"/>
                    </pic:cNvPicPr>
                  </pic:nvPicPr>
                  <pic:blipFill>
                    <a:blip r:embed="rId33"/>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6" name="Image 36" descr="C:\Users\MK\Desktop\projet suresnes\DOCS SAVS\contrat accompagnement_04102018_125250 (3)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C:\Users\MK\Desktop\projet suresnes\DOCS SAVS\contrat accompagnement_04102018_125250 (3)_Page_4.jpg"/>
                    <pic:cNvPicPr>
                      <a:picLocks noChangeAspect="1" noChangeArrowheads="1"/>
                    </pic:cNvPicPr>
                  </pic:nvPicPr>
                  <pic:blipFill>
                    <a:blip r:embed="rId34"/>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7" name="Image 37" descr="C:\Users\MK\Desktop\projet suresnes\DOCS SAVS\contrat accompagnement_04102018_125250 (3)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C:\Users\MK\Desktop\projet suresnes\DOCS SAVS\contrat accompagnement_04102018_125250 (3)_Page_5.jpg"/>
                    <pic:cNvPicPr>
                      <a:picLocks noChangeAspect="1" noChangeArrowheads="1"/>
                    </pic:cNvPicPr>
                  </pic:nvPicPr>
                  <pic:blipFill>
                    <a:blip r:embed="rId35"/>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8" name="Image 38" descr="C:\Users\MK\Desktop\projet suresnes\DOCS SAVS\contrat accompagnement_04102018_125250 (3)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C:\Users\MK\Desktop\projet suresnes\DOCS SAVS\contrat accompagnement_04102018_125250 (3)_Page_6.jpg"/>
                    <pic:cNvPicPr>
                      <a:picLocks noChangeAspect="1" noChangeArrowheads="1"/>
                    </pic:cNvPicPr>
                  </pic:nvPicPr>
                  <pic:blipFill>
                    <a:blip r:embed="rId36"/>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39" name="Image 39" descr="C:\Users\MK\Desktop\projet suresnes\DOCS SAVS\contrat accompagnement_04102018_125250 (3)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C:\Users\MK\Desktop\projet suresnes\DOCS SAVS\contrat accompagnement_04102018_125250 (3)_Page_7.jpg"/>
                    <pic:cNvPicPr>
                      <a:picLocks noChangeAspect="1" noChangeArrowheads="1"/>
                    </pic:cNvPicPr>
                  </pic:nvPicPr>
                  <pic:blipFill>
                    <a:blip r:embed="rId37"/>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w:rPr/>
        <w:drawing>
          <wp:inline distT="0" distB="0" distL="0" distR="0">
            <wp:extent cx="5760085" cy="8177530"/>
            <wp:effectExtent l="0" t="0" r="0" b="0"/>
            <wp:docPr id="40" name="Image 40" descr="C:\Users\MK\Desktop\projet suresnes\DOCS SAVS\contrat accompagnement_04102018_125250 (3)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C:\Users\MK\Desktop\projet suresnes\DOCS SAVS\contrat accompagnement_04102018_125250 (3)_Page_8.jpg"/>
                    <pic:cNvPicPr>
                      <a:picLocks noChangeAspect="1" noChangeArrowheads="1"/>
                    </pic:cNvPicPr>
                  </pic:nvPicPr>
                  <pic:blipFill>
                    <a:blip r:embed="rId38"/>
                    <a:stretch>
                      <a:fillRect/>
                    </a:stretch>
                  </pic:blipFill>
                  <pic:spPr bwMode="auto">
                    <a:xfrm>
                      <a:off x="0" y="0"/>
                      <a:ext cx="5760085" cy="8177530"/>
                    </a:xfrm>
                    <a:prstGeom prst="rect">
                      <a:avLst/>
                    </a:prstGeom>
                  </pic:spPr>
                </pic:pic>
              </a:graphicData>
            </a:graphic>
          </wp:inline>
        </w:drawing>
      </w:r>
    </w:p>
    <w:p>
      <w:pPr>
        <w:pStyle w:val="Normal"/>
        <w:spacing w:lineRule="auto" w:line="276" w:before="0" w:after="200"/>
        <w:rPr/>
      </w:pPr>
      <w:r>
        <w:rPr/>
      </w:r>
    </w:p>
    <w:p>
      <w:pPr>
        <w:pStyle w:val="Normal"/>
        <w:spacing w:lineRule="auto" w:line="276" w:before="0" w:after="200"/>
        <w:rPr/>
      </w:pPr>
      <w:r>
        <mc:AlternateContent>
          <mc:Choice Requires="wps">
            <w:drawing>
              <wp:anchor behindDoc="0" distT="0" distB="0" distL="114300" distR="114300" simplePos="0" locked="0" layoutInCell="1" allowOverlap="1" relativeHeight="3">
                <wp:simplePos x="0" y="0"/>
                <wp:positionH relativeFrom="column">
                  <wp:posOffset>222885</wp:posOffset>
                </wp:positionH>
                <wp:positionV relativeFrom="paragraph">
                  <wp:posOffset>348615</wp:posOffset>
                </wp:positionV>
                <wp:extent cx="1658620" cy="506095"/>
                <wp:effectExtent l="57150" t="38100" r="76200" b="104775"/>
                <wp:wrapNone/>
                <wp:docPr id="41" name="Rectangle 15"/>
                <a:graphic xmlns:a="http://schemas.openxmlformats.org/drawingml/2006/main">
                  <a:graphicData uri="http://schemas.microsoft.com/office/word/2010/wordprocessingShape">
                    <wps:wsp>
                      <wps:cNvSpPr/>
                      <wps:spPr>
                        <a:xfrm>
                          <a:off x="0" y="0"/>
                          <a:ext cx="1658160" cy="505440"/>
                        </a:xfrm>
                        <a:prstGeom prst="rect">
                          <a:avLst/>
                        </a:prstGeom>
                        <a:ln>
                          <a:round/>
                        </a:ln>
                        <a:effectLst>
                          <a:outerShdw blurRad="40000" dir="5400000" dist="20160" rotWithShape="0">
                            <a:srgbClr val="000000">
                              <a:alpha val="38000"/>
                            </a:srgbClr>
                          </a:outerShdw>
                        </a:effectLst>
                      </wps:spPr>
                      <wps:style>
                        <a:lnRef idx="1">
                          <a:schemeClr val="dk1"/>
                        </a:lnRef>
                        <a:fillRef idx="2">
                          <a:schemeClr val="dk1"/>
                        </a:fillRef>
                        <a:effectRef idx="1">
                          <a:schemeClr val="dk1"/>
                        </a:effectRef>
                        <a:fontRef idx="minor"/>
                      </wps:style>
                      <wps:txbx>
                        <w:txbxContent>
                          <w:p>
                            <w:pPr>
                              <w:pStyle w:val="Contenudecadre"/>
                              <w:jc w:val="center"/>
                              <w:rPr/>
                            </w:pPr>
                            <w:r>
                              <w:rPr>
                                <w:color w:val="000000"/>
                              </w:rPr>
                              <w:t>Rez-de-chaussée</w:t>
                            </w:r>
                          </w:p>
                        </w:txbxContent>
                      </wps:txbx>
                      <wps:bodyPr anchor="ctr">
                        <a:prstTxWarp prst="textNoShape"/>
                        <a:noAutofit/>
                      </wps:bodyPr>
                    </wps:wsp>
                  </a:graphicData>
                </a:graphic>
              </wp:anchor>
            </w:drawing>
          </mc:Choice>
          <mc:Fallback>
            <w:pict>
              <v:rect id="shape_0" ID="Rectangle 15" fillcolor="#d0d0d0" stroked="t" style="position:absolute;margin-left:17.55pt;margin-top:27.45pt;width:130.5pt;height:39.75pt">
                <w10:wrap type="square"/>
                <v:fill o:detectmouseclick="t" color2="#ededed"/>
                <v:stroke color="black" weight="9360" joinstyle="round" endcap="flat"/>
                <v:shadow on="t" obscured="f" color="black"/>
                <v:textbox>
                  <w:txbxContent>
                    <w:p>
                      <w:pPr>
                        <w:pStyle w:val="Contenudecadre"/>
                        <w:jc w:val="center"/>
                        <w:rPr/>
                      </w:pPr>
                      <w:r>
                        <w:rPr>
                          <w:color w:val="000000"/>
                        </w:rPr>
                        <w:t>Rez-de-chaussée</w:t>
                      </w:r>
                    </w:p>
                  </w:txbxContent>
                </v:textbox>
              </v:rect>
            </w:pict>
          </mc:Fallback>
        </mc:AlternateContent>
      </w:r>
      <w:r>
        <w:rPr/>
        <w:drawing>
          <wp:inline distT="0" distB="0" distL="0" distR="0">
            <wp:extent cx="5760085" cy="7552690"/>
            <wp:effectExtent l="0" t="0" r="0" b="0"/>
            <wp:docPr id="43" name="Imag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12" descr=""/>
                    <pic:cNvPicPr>
                      <a:picLocks noChangeAspect="1" noChangeArrowheads="1"/>
                    </pic:cNvPicPr>
                  </pic:nvPicPr>
                  <pic:blipFill>
                    <a:blip r:embed="rId39"/>
                    <a:stretch>
                      <a:fillRect/>
                    </a:stretch>
                  </pic:blipFill>
                  <pic:spPr bwMode="auto">
                    <a:xfrm>
                      <a:off x="0" y="0"/>
                      <a:ext cx="5760085" cy="7552690"/>
                    </a:xfrm>
                    <a:prstGeom prst="rect">
                      <a:avLst/>
                    </a:prstGeom>
                  </pic:spPr>
                </pic:pic>
              </a:graphicData>
            </a:graphic>
          </wp:inline>
        </w:drawing>
      </w:r>
      <w:r>
        <w:rPr/>
        <w:drawing>
          <wp:inline distT="0" distB="0" distL="0" distR="0">
            <wp:extent cx="5760085" cy="8047355"/>
            <wp:effectExtent l="0" t="0" r="0" b="0"/>
            <wp:docPr id="44" name="Imag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5" descr=""/>
                    <pic:cNvPicPr>
                      <a:picLocks noChangeAspect="1" noChangeArrowheads="1"/>
                    </pic:cNvPicPr>
                  </pic:nvPicPr>
                  <pic:blipFill>
                    <a:blip r:embed="rId40"/>
                    <a:stretch>
                      <a:fillRect/>
                    </a:stretch>
                  </pic:blipFill>
                  <pic:spPr bwMode="auto">
                    <a:xfrm>
                      <a:off x="0" y="0"/>
                      <a:ext cx="5760085" cy="8047355"/>
                    </a:xfrm>
                    <a:prstGeom prst="rect">
                      <a:avLst/>
                    </a:prstGeom>
                  </pic:spPr>
                </pic:pic>
              </a:graphicData>
            </a:graphic>
          </wp:inline>
        </w:drawing>
      </w:r>
      <w:r>
        <w:br w:type="page"/>
      </w:r>
    </w:p>
    <w:p>
      <w:pPr>
        <w:pStyle w:val="Normal"/>
        <w:spacing w:lineRule="auto" w:line="276" w:before="0" w:after="200"/>
        <w:rPr/>
      </w:pPr>
      <w:r>
        <w:rPr/>
        <mc:AlternateContent>
          <mc:Choice Requires="wps">
            <w:drawing>
              <wp:anchor behindDoc="0" distT="0" distB="0" distL="114300" distR="114300" simplePos="0" locked="0" layoutInCell="1" allowOverlap="1" relativeHeight="2">
                <wp:simplePos x="0" y="0"/>
                <wp:positionH relativeFrom="column">
                  <wp:posOffset>175260</wp:posOffset>
                </wp:positionH>
                <wp:positionV relativeFrom="paragraph">
                  <wp:posOffset>-7994650</wp:posOffset>
                </wp:positionV>
                <wp:extent cx="1182370" cy="525145"/>
                <wp:effectExtent l="57150" t="38100" r="76200" b="104775"/>
                <wp:wrapNone/>
                <wp:docPr id="45" name="Rectangle 10"/>
                <a:graphic xmlns:a="http://schemas.openxmlformats.org/drawingml/2006/main">
                  <a:graphicData uri="http://schemas.microsoft.com/office/word/2010/wordprocessingShape">
                    <wps:wsp>
                      <wps:cNvSpPr/>
                      <wps:spPr>
                        <a:xfrm>
                          <a:off x="0" y="0"/>
                          <a:ext cx="1181880" cy="524520"/>
                        </a:xfrm>
                        <a:prstGeom prst="rect">
                          <a:avLst/>
                        </a:prstGeom>
                        <a:ln>
                          <a:round/>
                        </a:ln>
                        <a:effectLst>
                          <a:outerShdw blurRad="40000" dir="5400000" dist="20160" rotWithShape="0">
                            <a:srgbClr val="000000">
                              <a:alpha val="38000"/>
                            </a:srgbClr>
                          </a:outerShdw>
                        </a:effectLst>
                      </wps:spPr>
                      <wps:style>
                        <a:lnRef idx="1">
                          <a:schemeClr val="dk1"/>
                        </a:lnRef>
                        <a:fillRef idx="2">
                          <a:schemeClr val="dk1"/>
                        </a:fillRef>
                        <a:effectRef idx="1">
                          <a:schemeClr val="dk1"/>
                        </a:effectRef>
                        <a:fontRef idx="minor"/>
                      </wps:style>
                      <wps:txbx>
                        <w:txbxContent>
                          <w:p>
                            <w:pPr>
                              <w:pStyle w:val="Contenudecadre"/>
                              <w:jc w:val="center"/>
                              <w:rPr/>
                            </w:pPr>
                            <w:r>
                              <w:rPr>
                                <w:color w:val="000000"/>
                              </w:rPr>
                              <w:t>1er Etage</w:t>
                            </w:r>
                          </w:p>
                        </w:txbxContent>
                      </wps:txbx>
                      <wps:bodyPr anchor="ctr">
                        <a:prstTxWarp prst="textNoShape"/>
                        <a:noAutofit/>
                      </wps:bodyPr>
                    </wps:wsp>
                  </a:graphicData>
                </a:graphic>
              </wp:anchor>
            </w:drawing>
          </mc:Choice>
          <mc:Fallback>
            <w:pict>
              <v:rect id="shape_0" ID="Rectangle 10" fillcolor="#d0d0d0" stroked="t" style="position:absolute;margin-left:13.8pt;margin-top:-629.5pt;width:93pt;height:41.25pt">
                <w10:wrap type="square"/>
                <v:fill o:detectmouseclick="t" color2="#ededed"/>
                <v:stroke color="black" weight="9360" joinstyle="round" endcap="flat"/>
                <v:shadow on="t" obscured="f" color="black"/>
                <v:textbox>
                  <w:txbxContent>
                    <w:p>
                      <w:pPr>
                        <w:pStyle w:val="Contenudecadre"/>
                        <w:jc w:val="center"/>
                        <w:rPr/>
                      </w:pPr>
                      <w:r>
                        <w:rPr>
                          <w:color w:val="000000"/>
                        </w:rPr>
                        <w:t>1er Etage</w:t>
                      </w:r>
                    </w:p>
                  </w:txbxContent>
                </v:textbox>
              </v:rect>
            </w:pict>
          </mc:Fallback>
        </mc:AlternateContent>
      </w:r>
    </w:p>
    <w:sectPr>
      <w:footerReference w:type="default" r:id="rId41"/>
      <w:type w:val="nextPage"/>
      <w:pgSz w:w="11906" w:h="16838"/>
      <w:pgMar w:left="1134" w:right="1701" w:header="0" w:top="1701" w:footer="709" w:bottom="851" w:gutter="0"/>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ind w:right="360" w:hanging="0"/>
      <w:rPr>
        <w:sz w:val="16"/>
        <w:szCs w:val="16"/>
      </w:rPr>
    </w:pPr>
    <w:r>
      <w:rPr>
        <w:sz w:val="16"/>
        <w:szCs w:val="16"/>
      </w:rPr>
      <mc:AlternateContent>
        <mc:Choice Requires="wps">
          <w:drawing>
            <wp:anchor behindDoc="1" distT="0" distB="0" distL="0" distR="0" simplePos="0" locked="0" layoutInCell="1" allowOverlap="1" relativeHeight="64">
              <wp:simplePos x="0" y="0"/>
              <wp:positionH relativeFrom="margin">
                <wp:align>right</wp:align>
              </wp:positionH>
              <wp:positionV relativeFrom="paragraph">
                <wp:posOffset>635</wp:posOffset>
              </wp:positionV>
              <wp:extent cx="153670" cy="174625"/>
              <wp:effectExtent l="0" t="0" r="0" b="0"/>
              <wp:wrapSquare wrapText="largest"/>
              <wp:docPr id="27" name="Cadre1"/>
              <a:graphic xmlns:a="http://schemas.openxmlformats.org/drawingml/2006/main">
                <a:graphicData uri="http://schemas.microsoft.com/office/word/2010/wordprocessingShape">
                  <wps:wsp>
                    <wps:cNvSpPr/>
                    <wps:spPr>
                      <a:xfrm>
                        <a:off x="0" y="0"/>
                        <a:ext cx="153000" cy="173880"/>
                      </a:xfrm>
                      <a:prstGeom prst="rect">
                        <a:avLst/>
                      </a:prstGeom>
                      <a:noFill/>
                      <a:ln>
                        <a:noFill/>
                      </a:ln>
                    </wps:spPr>
                    <wps:style>
                      <a:lnRef idx="0"/>
                      <a:fillRef idx="0"/>
                      <a:effectRef idx="0"/>
                      <a:fontRef idx="minor"/>
                    </wps:style>
                    <wps:txbx>
                      <w:txbxContent>
                        <w:p>
                          <w:pPr>
                            <w:pStyle w:val="Pieddepage"/>
                            <w:rPr>
                              <w:color w:val="auto"/>
                            </w:rPr>
                          </w:pPr>
                          <w:r>
                            <w:rPr>
                              <w:color w:val="auto"/>
                            </w:rPr>
                            <w:fldChar w:fldCharType="begin"/>
                          </w:r>
                          <w:r>
                            <w:rPr/>
                            <w:instrText> PAGE </w:instrText>
                          </w:r>
                          <w:r>
                            <w:rPr/>
                            <w:fldChar w:fldCharType="separate"/>
                          </w:r>
                          <w:r>
                            <w:rPr/>
                            <w:t>36</w:t>
                          </w:r>
                          <w:r>
                            <w:rPr/>
                            <w:fldChar w:fldCharType="end"/>
                          </w:r>
                        </w:p>
                      </w:txbxContent>
                    </wps:txbx>
                    <wps:bodyPr lIns="0" rIns="0" tIns="0" bIns="0">
                      <a:spAutoFit/>
                    </wps:bodyPr>
                  </wps:wsp>
                </a:graphicData>
              </a:graphic>
            </wp:anchor>
          </w:drawing>
        </mc:Choice>
        <mc:Fallback>
          <w:pict>
            <v:rect id="shape_0" ID="Cadre1" fillcolor="white" stroked="f" style="position:absolute;margin-left:441.5pt;margin-top:0.05pt;width:12pt;height:13.65pt;mso-position-horizontal:right;mso-position-horizontal-relative:margin">
              <w10:wrap type="square"/>
              <v:fill o:detectmouseclick="t" type="solid" color2="black" opacity="0"/>
              <v:stroke color="#3465a4" joinstyle="round" endcap="flat"/>
              <v:textbox>
                <w:txbxContent>
                  <w:p>
                    <w:pPr>
                      <w:pStyle w:val="Pieddepage"/>
                      <w:rPr>
                        <w:color w:val="auto"/>
                      </w:rPr>
                    </w:pPr>
                    <w:r>
                      <w:rPr>
                        <w:color w:val="auto"/>
                      </w:rPr>
                      <w:fldChar w:fldCharType="begin"/>
                    </w:r>
                    <w:r>
                      <w:rPr/>
                      <w:instrText> PAGE </w:instrText>
                    </w:r>
                    <w:r>
                      <w:rPr/>
                      <w:fldChar w:fldCharType="separate"/>
                    </w:r>
                    <w:r>
                      <w:rPr/>
                      <w:t>36</w:t>
                    </w:r>
                    <w:r>
                      <w:rPr/>
                      <w:fldChar w:fldCharType="end"/>
                    </w:r>
                  </w:p>
                </w:txbxContent>
              </v:textbox>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ind w:right="360" w:hanging="0"/>
      <w:rPr>
        <w:sz w:val="16"/>
        <w:szCs w:val="16"/>
      </w:rPr>
    </w:pPr>
    <w:r>
      <mc:AlternateContent>
        <mc:Choice Requires="wps">
          <w:drawing>
            <wp:anchor behindDoc="1" distT="0" distB="0" distL="0" distR="0" simplePos="0" locked="0" layoutInCell="1" allowOverlap="1" relativeHeight="68">
              <wp:simplePos x="0" y="0"/>
              <wp:positionH relativeFrom="margin">
                <wp:align>right</wp:align>
              </wp:positionH>
              <wp:positionV relativeFrom="paragraph">
                <wp:posOffset>635</wp:posOffset>
              </wp:positionV>
              <wp:extent cx="153670" cy="174625"/>
              <wp:effectExtent l="0" t="0" r="0" b="0"/>
              <wp:wrapSquare wrapText="largest"/>
              <wp:docPr id="29" name="Cadre3"/>
              <a:graphic xmlns:a="http://schemas.openxmlformats.org/drawingml/2006/main">
                <a:graphicData uri="http://schemas.microsoft.com/office/word/2010/wordprocessingShape">
                  <wps:wsp>
                    <wps:cNvSpPr/>
                    <wps:spPr>
                      <a:xfrm>
                        <a:off x="0" y="0"/>
                        <a:ext cx="153000" cy="173880"/>
                      </a:xfrm>
                      <a:prstGeom prst="rect">
                        <a:avLst/>
                      </a:prstGeom>
                      <a:noFill/>
                      <a:ln>
                        <a:noFill/>
                      </a:ln>
                    </wps:spPr>
                    <wps:style>
                      <a:lnRef idx="0"/>
                      <a:fillRef idx="0"/>
                      <a:effectRef idx="0"/>
                      <a:fontRef idx="minor"/>
                    </wps:style>
                    <wps:txbx>
                      <w:txbxContent>
                        <w:p>
                          <w:pPr>
                            <w:pStyle w:val="Pieddepage"/>
                            <w:rPr>
                              <w:color w:val="auto"/>
                            </w:rPr>
                          </w:pPr>
                          <w:r>
                            <w:rPr>
                              <w:color w:val="auto"/>
                            </w:rPr>
                            <w:fldChar w:fldCharType="begin"/>
                          </w:r>
                          <w:r>
                            <w:rPr/>
                            <w:instrText> PAGE </w:instrText>
                          </w:r>
                          <w:r>
                            <w:rPr/>
                            <w:fldChar w:fldCharType="separate"/>
                          </w:r>
                          <w:r>
                            <w:rPr/>
                            <w:t>65</w:t>
                          </w:r>
                          <w:r>
                            <w:rPr/>
                            <w:fldChar w:fldCharType="end"/>
                          </w:r>
                        </w:p>
                      </w:txbxContent>
                    </wps:txbx>
                    <wps:bodyPr lIns="0" rIns="0" tIns="0" bIns="0">
                      <a:spAutoFit/>
                    </wps:bodyPr>
                  </wps:wsp>
                </a:graphicData>
              </a:graphic>
            </wp:anchor>
          </w:drawing>
        </mc:Choice>
        <mc:Fallback>
          <w:pict>
            <v:rect id="shape_0" ID="Cadre3" fillcolor="white" stroked="f" style="position:absolute;margin-left:441.5pt;margin-top:0.05pt;width:12pt;height:13.65pt;mso-position-horizontal:right;mso-position-horizontal-relative:margin">
              <w10:wrap type="square"/>
              <v:fill o:detectmouseclick="t" type="solid" color2="black" opacity="0"/>
              <v:stroke color="#3465a4" joinstyle="round" endcap="flat"/>
              <v:textbox>
                <w:txbxContent>
                  <w:p>
                    <w:pPr>
                      <w:pStyle w:val="Pieddepage"/>
                      <w:rPr>
                        <w:color w:val="auto"/>
                      </w:rPr>
                    </w:pPr>
                    <w:r>
                      <w:rPr>
                        <w:color w:val="auto"/>
                      </w:rPr>
                      <w:fldChar w:fldCharType="begin"/>
                    </w:r>
                    <w:r>
                      <w:rPr/>
                      <w:instrText> PAGE </w:instrText>
                    </w:r>
                    <w:r>
                      <w:rPr/>
                      <w:fldChar w:fldCharType="separate"/>
                    </w:r>
                    <w:r>
                      <w:rPr/>
                      <w:t>65</w:t>
                    </w:r>
                    <w:r>
                      <w:rPr/>
                      <w:fldChar w:fldCharType="end"/>
                    </w:r>
                  </w:p>
                </w:txbxContent>
              </v:textbox>
            </v:rect>
          </w:pict>
        </mc:Fallback>
      </mc:AlternateContent>
    </w:r>
    <w:r>
      <w:rPr>
        <w:sz w:val="16"/>
        <w:szCs w:val="16"/>
      </w:rPr>
      <w:t>Convention réactualisée le 23/09/08</w: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ind w:right="360" w:hanging="0"/>
      <w:rPr/>
    </w:pPr>
    <w:r>
      <w:rPr>
        <w:sz w:val="16"/>
        <w:szCs w:val="16"/>
      </w:rPr>
      <w:t>Convention réactualisée le 23/09/08</w: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67062063"/>
    </w:sdtPr>
    <w:sdtContent>
      <w:p>
        <w:pPr>
          <w:pStyle w:val="Pieddepage"/>
          <w:jc w:val="right"/>
          <w:rPr/>
        </w:pPr>
        <w:r>
          <w:rPr/>
          <w:fldChar w:fldCharType="begin"/>
        </w:r>
        <w:r>
          <w:rPr/>
          <w:instrText> PAGE </w:instrText>
        </w:r>
        <w:r>
          <w:rPr/>
          <w:fldChar w:fldCharType="separate"/>
        </w:r>
        <w:r>
          <w:rPr/>
          <w:t>79</w:t>
        </w:r>
        <w:r>
          <w:rPr/>
          <w:fldChar w:fldCharType="end"/>
        </w:r>
      </w:p>
    </w:sdtContent>
  </w:sdt>
  <w:p>
    <w:pPr>
      <w:pStyle w:val="Pieddepage"/>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360"/>
        </w:tabs>
        <w:ind w:left="360" w:hanging="360"/>
      </w:pPr>
      <w:rPr>
        <w:rFonts w:ascii="Times New Roman" w:hAnsi="Times New Roman" w:cs="Times New Roman" w:hint="default"/>
        <w:rFonts w:cs="Times New Roman"/>
      </w:rPr>
    </w:lvl>
    <w:lvl w:ilvl="1">
      <w:start w:val="1"/>
      <w:numFmt w:val="bullet"/>
      <w:lvlText w:val="o"/>
      <w:lvlJc w:val="left"/>
      <w:pPr>
        <w:tabs>
          <w:tab w:val="num" w:pos="1080"/>
        </w:tabs>
        <w:ind w:left="1080" w:hanging="360"/>
      </w:pPr>
      <w:rPr>
        <w:rFonts w:ascii="Courier New" w:hAnsi="Courier New" w:cs="Courier New" w:hint="default"/>
        <w:rFonts w:cs="Courier New"/>
      </w:rPr>
    </w:lvl>
    <w:lvl w:ilvl="2">
      <w:start w:val="1"/>
      <w:numFmt w:val="bullet"/>
      <w:lvlText w:val=""/>
      <w:lvlJc w:val="left"/>
      <w:pPr>
        <w:tabs>
          <w:tab w:val="num" w:pos="1800"/>
        </w:tabs>
        <w:ind w:left="1800" w:hanging="360"/>
      </w:pPr>
      <w:rPr>
        <w:rFonts w:ascii="Wingdings" w:hAnsi="Wingdings" w:cs="Wingdings" w:hint="default"/>
        <w:rFonts w:cs="Wingdings"/>
      </w:rPr>
    </w:lvl>
    <w:lvl w:ilvl="3">
      <w:start w:val="1"/>
      <w:numFmt w:val="bullet"/>
      <w:lvlText w:val=""/>
      <w:lvlJc w:val="left"/>
      <w:pPr>
        <w:tabs>
          <w:tab w:val="num" w:pos="2520"/>
        </w:tabs>
        <w:ind w:left="2520" w:hanging="360"/>
      </w:pPr>
      <w:rPr>
        <w:rFonts w:ascii="Symbol" w:hAnsi="Symbol" w:cs="Symbol" w:hint="default"/>
        <w:rFonts w:cs="Symbol"/>
      </w:rPr>
    </w:lvl>
    <w:lvl w:ilvl="4">
      <w:start w:val="1"/>
      <w:numFmt w:val="bullet"/>
      <w:lvlText w:val="o"/>
      <w:lvlJc w:val="left"/>
      <w:pPr>
        <w:tabs>
          <w:tab w:val="num" w:pos="3240"/>
        </w:tabs>
        <w:ind w:left="3240" w:hanging="360"/>
      </w:pPr>
      <w:rPr>
        <w:rFonts w:ascii="Courier New" w:hAnsi="Courier New" w:cs="Courier New" w:hint="default"/>
        <w:rFonts w:cs="Courier New"/>
      </w:rPr>
    </w:lvl>
    <w:lvl w:ilvl="5">
      <w:start w:val="1"/>
      <w:numFmt w:val="bullet"/>
      <w:lvlText w:val=""/>
      <w:lvlJc w:val="left"/>
      <w:pPr>
        <w:tabs>
          <w:tab w:val="num" w:pos="3960"/>
        </w:tabs>
        <w:ind w:left="3960" w:hanging="360"/>
      </w:pPr>
      <w:rPr>
        <w:rFonts w:ascii="Wingdings" w:hAnsi="Wingdings" w:cs="Wingdings" w:hint="default"/>
        <w:rFonts w:cs="Wingdings"/>
      </w:rPr>
    </w:lvl>
    <w:lvl w:ilvl="6">
      <w:start w:val="1"/>
      <w:numFmt w:val="bullet"/>
      <w:lvlText w:val=""/>
      <w:lvlJc w:val="left"/>
      <w:pPr>
        <w:tabs>
          <w:tab w:val="num" w:pos="4680"/>
        </w:tabs>
        <w:ind w:left="4680" w:hanging="360"/>
      </w:pPr>
      <w:rPr>
        <w:rFonts w:ascii="Symbol" w:hAnsi="Symbol" w:cs="Symbol" w:hint="default"/>
        <w:rFonts w:cs="Symbol"/>
      </w:rPr>
    </w:lvl>
    <w:lvl w:ilvl="7">
      <w:start w:val="1"/>
      <w:numFmt w:val="bullet"/>
      <w:lvlText w:val="o"/>
      <w:lvlJc w:val="left"/>
      <w:pPr>
        <w:tabs>
          <w:tab w:val="num" w:pos="5400"/>
        </w:tabs>
        <w:ind w:left="5400" w:hanging="360"/>
      </w:pPr>
      <w:rPr>
        <w:rFonts w:ascii="Courier New" w:hAnsi="Courier New" w:cs="Courier New" w:hint="default"/>
        <w:rFonts w:cs="Courier New"/>
      </w:rPr>
    </w:lvl>
    <w:lvl w:ilvl="8">
      <w:start w:val="1"/>
      <w:numFmt w:val="bullet"/>
      <w:lvlText w:val=""/>
      <w:lvlJc w:val="left"/>
      <w:pPr>
        <w:tabs>
          <w:tab w:val="num" w:pos="6120"/>
        </w:tabs>
        <w:ind w:left="6120" w:hanging="360"/>
      </w:pPr>
      <w:rPr>
        <w:rFonts w:ascii="Wingdings" w:hAnsi="Wingdings" w:cs="Wingdings" w:hint="default"/>
        <w:rFonts w:cs="Wingdings"/>
      </w:rPr>
    </w:lvl>
  </w:abstractNum>
  <w:abstractNum w:abstractNumId="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lvl w:ilvl="0">
      <w:start w:val="1"/>
      <w:numFmt w:val="bullet"/>
      <w:lvlText w:val="-"/>
      <w:lvlJc w:val="left"/>
      <w:pPr>
        <w:ind w:left="0" w:hanging="360"/>
      </w:pPr>
      <w:rPr>
        <w:rFonts w:ascii="Times New Roman" w:hAnsi="Times New Roman" w:cs="Times New Roman" w:hint="default"/>
        <w:sz w:val="20"/>
        <w:rFonts w:cs="Times New Roman"/>
      </w:rPr>
    </w:lvl>
    <w:lvl w:ilvl="1">
      <w:start w:val="1"/>
      <w:numFmt w:val="bullet"/>
      <w:lvlText w:val="o"/>
      <w:lvlJc w:val="left"/>
      <w:pPr>
        <w:tabs>
          <w:tab w:val="num" w:pos="654"/>
        </w:tabs>
        <w:ind w:left="654" w:hanging="360"/>
      </w:pPr>
      <w:rPr>
        <w:rFonts w:ascii="Courier New" w:hAnsi="Courier New" w:cs="Courier New" w:hint="default"/>
        <w:rFonts w:cs="Courier New"/>
      </w:rPr>
    </w:lvl>
    <w:lvl w:ilvl="2">
      <w:start w:val="1"/>
      <w:numFmt w:val="bullet"/>
      <w:lvlText w:val=""/>
      <w:lvlJc w:val="left"/>
      <w:pPr>
        <w:tabs>
          <w:tab w:val="num" w:pos="1374"/>
        </w:tabs>
        <w:ind w:left="1374" w:hanging="360"/>
      </w:pPr>
      <w:rPr>
        <w:rFonts w:ascii="Wingdings" w:hAnsi="Wingdings" w:cs="Wingdings" w:hint="default"/>
        <w:rFonts w:cs="Wingdings"/>
      </w:rPr>
    </w:lvl>
    <w:lvl w:ilvl="3">
      <w:start w:val="1"/>
      <w:numFmt w:val="bullet"/>
      <w:lvlText w:val=""/>
      <w:lvlJc w:val="left"/>
      <w:pPr>
        <w:tabs>
          <w:tab w:val="num" w:pos="2094"/>
        </w:tabs>
        <w:ind w:left="2094" w:hanging="360"/>
      </w:pPr>
      <w:rPr>
        <w:rFonts w:ascii="Symbol" w:hAnsi="Symbol" w:cs="Symbol" w:hint="default"/>
        <w:rFonts w:cs="Symbol"/>
      </w:rPr>
    </w:lvl>
    <w:lvl w:ilvl="4">
      <w:start w:val="1"/>
      <w:numFmt w:val="bullet"/>
      <w:lvlText w:val="o"/>
      <w:lvlJc w:val="left"/>
      <w:pPr>
        <w:tabs>
          <w:tab w:val="num" w:pos="2814"/>
        </w:tabs>
        <w:ind w:left="2814" w:hanging="360"/>
      </w:pPr>
      <w:rPr>
        <w:rFonts w:ascii="Courier New" w:hAnsi="Courier New" w:cs="Courier New" w:hint="default"/>
        <w:rFonts w:cs="Courier New"/>
      </w:rPr>
    </w:lvl>
    <w:lvl w:ilvl="5">
      <w:start w:val="1"/>
      <w:numFmt w:val="bullet"/>
      <w:lvlText w:val=""/>
      <w:lvlJc w:val="left"/>
      <w:pPr>
        <w:tabs>
          <w:tab w:val="num" w:pos="3534"/>
        </w:tabs>
        <w:ind w:left="3534" w:hanging="360"/>
      </w:pPr>
      <w:rPr>
        <w:rFonts w:ascii="Wingdings" w:hAnsi="Wingdings" w:cs="Wingdings" w:hint="default"/>
        <w:rFonts w:cs="Wingdings"/>
      </w:rPr>
    </w:lvl>
    <w:lvl w:ilvl="6">
      <w:start w:val="1"/>
      <w:numFmt w:val="bullet"/>
      <w:lvlText w:val=""/>
      <w:lvlJc w:val="left"/>
      <w:pPr>
        <w:tabs>
          <w:tab w:val="num" w:pos="4254"/>
        </w:tabs>
        <w:ind w:left="4254" w:hanging="360"/>
      </w:pPr>
      <w:rPr>
        <w:rFonts w:ascii="Symbol" w:hAnsi="Symbol" w:cs="Symbol" w:hint="default"/>
        <w:rFonts w:cs="Symbol"/>
      </w:rPr>
    </w:lvl>
    <w:lvl w:ilvl="7">
      <w:start w:val="1"/>
      <w:numFmt w:val="bullet"/>
      <w:lvlText w:val="o"/>
      <w:lvlJc w:val="left"/>
      <w:pPr>
        <w:tabs>
          <w:tab w:val="num" w:pos="4974"/>
        </w:tabs>
        <w:ind w:left="4974" w:hanging="360"/>
      </w:pPr>
      <w:rPr>
        <w:rFonts w:ascii="Courier New" w:hAnsi="Courier New" w:cs="Courier New" w:hint="default"/>
        <w:rFonts w:cs="Courier New"/>
      </w:rPr>
    </w:lvl>
    <w:lvl w:ilvl="8">
      <w:start w:val="1"/>
      <w:numFmt w:val="bullet"/>
      <w:lvlText w:val=""/>
      <w:lvlJc w:val="left"/>
      <w:pPr>
        <w:tabs>
          <w:tab w:val="num" w:pos="5694"/>
        </w:tabs>
        <w:ind w:left="5694" w:hanging="360"/>
      </w:pPr>
      <w:rPr>
        <w:rFonts w:ascii="Wingdings" w:hAnsi="Wingdings" w:cs="Wingdings" w:hint="default"/>
        <w:rFonts w:cs="Wingdings"/>
      </w:rPr>
    </w:lvl>
  </w:abstractNum>
  <w:abstractNum w:abstractNumId="4">
    <w:lvl w:ilvl="0">
      <w:start w:val="14"/>
      <w:numFmt w:val="bullet"/>
      <w:lvlText w:val="-"/>
      <w:lvlJc w:val="left"/>
      <w:pPr>
        <w:ind w:left="720" w:hanging="360"/>
      </w:pPr>
      <w:rPr>
        <w:rFonts w:ascii="Times New Roman" w:hAnsi="Times New Roman" w:cs="Times New Roman" w:hint="default"/>
        <w:rFonts w:cs="Times New Roman"/>
      </w:rPr>
    </w:lvl>
    <w:lvl w:ilvl="1">
      <w:start w:val="1"/>
      <w:numFmt w:val="bullet"/>
      <w:lvlText w:val="-"/>
      <w:lvlJc w:val="left"/>
      <w:pPr>
        <w:ind w:left="1080" w:hanging="360"/>
      </w:pPr>
      <w:rPr>
        <w:rFonts w:ascii="Times New Roman" w:hAnsi="Times New Roman" w:cs="Times New Roman" w:hint="default"/>
        <w:rFonts w:cs="Times New Roman"/>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5">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6">
    <w:lvl w:ilvl="0">
      <w:start w:val="1"/>
      <w:numFmt w:val="bullet"/>
      <w:lvlText w:val="-"/>
      <w:lvlJc w:val="left"/>
      <w:pPr>
        <w:ind w:left="1068" w:hanging="360"/>
      </w:pPr>
      <w:rPr>
        <w:rFonts w:ascii="Times New Roman" w:hAnsi="Times New Roman" w:cs="Times New Roman" w:hint="default"/>
        <w:rFonts w:cs="Times New Roman"/>
      </w:rPr>
    </w:lvl>
    <w:lvl w:ilvl="1">
      <w:start w:val="1"/>
      <w:numFmt w:val="bullet"/>
      <w:lvlText w:val="o"/>
      <w:lvlJc w:val="left"/>
      <w:pPr>
        <w:ind w:left="1788" w:hanging="360"/>
      </w:pPr>
      <w:rPr>
        <w:rFonts w:ascii="Courier New" w:hAnsi="Courier New" w:cs="Courier New" w:hint="default"/>
        <w:rFonts w:cs="Courier New"/>
      </w:rPr>
    </w:lvl>
    <w:lvl w:ilvl="2">
      <w:start w:val="1"/>
      <w:numFmt w:val="bullet"/>
      <w:lvlText w:val=""/>
      <w:lvlJc w:val="left"/>
      <w:pPr>
        <w:ind w:left="2508" w:hanging="360"/>
      </w:pPr>
      <w:rPr>
        <w:rFonts w:ascii="Wingdings" w:hAnsi="Wingdings" w:cs="Wingdings" w:hint="default"/>
        <w:rFonts w:cs="Wingdings"/>
      </w:rPr>
    </w:lvl>
    <w:lvl w:ilvl="3">
      <w:start w:val="1"/>
      <w:numFmt w:val="bullet"/>
      <w:lvlText w:val=""/>
      <w:lvlJc w:val="left"/>
      <w:pPr>
        <w:ind w:left="3228" w:hanging="360"/>
      </w:pPr>
      <w:rPr>
        <w:rFonts w:ascii="Symbol" w:hAnsi="Symbol" w:cs="Symbol" w:hint="default"/>
        <w:rFonts w:cs="Symbol"/>
      </w:rPr>
    </w:lvl>
    <w:lvl w:ilvl="4">
      <w:start w:val="1"/>
      <w:numFmt w:val="bullet"/>
      <w:lvlText w:val="o"/>
      <w:lvlJc w:val="left"/>
      <w:pPr>
        <w:ind w:left="3948" w:hanging="360"/>
      </w:pPr>
      <w:rPr>
        <w:rFonts w:ascii="Courier New" w:hAnsi="Courier New" w:cs="Courier New" w:hint="default"/>
        <w:rFonts w:cs="Courier New"/>
      </w:rPr>
    </w:lvl>
    <w:lvl w:ilvl="5">
      <w:start w:val="1"/>
      <w:numFmt w:val="bullet"/>
      <w:lvlText w:val=""/>
      <w:lvlJc w:val="left"/>
      <w:pPr>
        <w:ind w:left="4668" w:hanging="360"/>
      </w:pPr>
      <w:rPr>
        <w:rFonts w:ascii="Wingdings" w:hAnsi="Wingdings" w:cs="Wingdings" w:hint="default"/>
        <w:rFonts w:cs="Wingdings"/>
      </w:rPr>
    </w:lvl>
    <w:lvl w:ilvl="6">
      <w:start w:val="1"/>
      <w:numFmt w:val="bullet"/>
      <w:lvlText w:val=""/>
      <w:lvlJc w:val="left"/>
      <w:pPr>
        <w:ind w:left="5388" w:hanging="360"/>
      </w:pPr>
      <w:rPr>
        <w:rFonts w:ascii="Symbol" w:hAnsi="Symbol" w:cs="Symbol" w:hint="default"/>
        <w:rFonts w:cs="Symbol"/>
      </w:rPr>
    </w:lvl>
    <w:lvl w:ilvl="7">
      <w:start w:val="1"/>
      <w:numFmt w:val="bullet"/>
      <w:lvlText w:val="o"/>
      <w:lvlJc w:val="left"/>
      <w:pPr>
        <w:ind w:left="6108" w:hanging="360"/>
      </w:pPr>
      <w:rPr>
        <w:rFonts w:ascii="Courier New" w:hAnsi="Courier New" w:cs="Courier New" w:hint="default"/>
        <w:rFonts w:cs="Courier New"/>
      </w:rPr>
    </w:lvl>
    <w:lvl w:ilvl="8">
      <w:start w:val="1"/>
      <w:numFmt w:val="bullet"/>
      <w:lvlText w:val=""/>
      <w:lvlJc w:val="left"/>
      <w:pPr>
        <w:ind w:left="6828" w:hanging="360"/>
      </w:pPr>
      <w:rPr>
        <w:rFonts w:ascii="Wingdings" w:hAnsi="Wingdings" w:cs="Wingdings" w:hint="default"/>
        <w:rFonts w:cs="Wingdings"/>
      </w:rPr>
    </w:lvl>
  </w:abstractNum>
  <w:abstractNum w:abstractNumId="7">
    <w:lvl w:ilvl="0">
      <w:start w:val="1"/>
      <w:numFmt w:val="decimal"/>
      <w:lvlText w:val="%1."/>
      <w:lvlJc w:val="left"/>
      <w:pPr>
        <w:ind w:left="720" w:hanging="360"/>
      </w:pPr>
    </w:lvl>
    <w:lvl w:ilvl="1">
      <w:start w:val="1"/>
      <w:numFmt w:val="bullet"/>
      <w:lvlText w:val="-"/>
      <w:lvlJc w:val="left"/>
      <w:pPr>
        <w:ind w:left="1080" w:hanging="360"/>
      </w:pPr>
      <w:rPr>
        <w:rFonts w:ascii="Times New Roman" w:hAnsi="Times New Roman" w:cs="Times New Roman" w:hint="default"/>
        <w:rFonts w:cs="Times New Roman"/>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8">
    <w:lvl w:ilvl="0">
      <w:start w:val="1"/>
      <w:numFmt w:val="bullet"/>
      <w:lvlText w:val="-"/>
      <w:lvlJc w:val="left"/>
      <w:pPr>
        <w:ind w:left="1068" w:hanging="360"/>
      </w:pPr>
      <w:rPr>
        <w:rFonts w:ascii="Times New Roman" w:hAnsi="Times New Roman" w:cs="Times New Roman" w:hint="default"/>
        <w:rFonts w:cs="Times New Roman"/>
      </w:rPr>
    </w:lvl>
    <w:lvl w:ilvl="1">
      <w:start w:val="1"/>
      <w:numFmt w:val="bullet"/>
      <w:lvlText w:val="o"/>
      <w:lvlJc w:val="left"/>
      <w:pPr>
        <w:ind w:left="1788" w:hanging="360"/>
      </w:pPr>
      <w:rPr>
        <w:rFonts w:ascii="Courier New" w:hAnsi="Courier New" w:cs="Courier New" w:hint="default"/>
        <w:rFonts w:cs="Courier New"/>
      </w:rPr>
    </w:lvl>
    <w:lvl w:ilvl="2">
      <w:start w:val="1"/>
      <w:numFmt w:val="bullet"/>
      <w:lvlText w:val=""/>
      <w:lvlJc w:val="left"/>
      <w:pPr>
        <w:ind w:left="2508" w:hanging="360"/>
      </w:pPr>
      <w:rPr>
        <w:rFonts w:ascii="Wingdings" w:hAnsi="Wingdings" w:cs="Wingdings" w:hint="default"/>
        <w:rFonts w:cs="Wingdings"/>
      </w:rPr>
    </w:lvl>
    <w:lvl w:ilvl="3">
      <w:start w:val="1"/>
      <w:numFmt w:val="bullet"/>
      <w:lvlText w:val=""/>
      <w:lvlJc w:val="left"/>
      <w:pPr>
        <w:ind w:left="3228" w:hanging="360"/>
      </w:pPr>
      <w:rPr>
        <w:rFonts w:ascii="Symbol" w:hAnsi="Symbol" w:cs="Symbol" w:hint="default"/>
        <w:rFonts w:cs="Symbol"/>
      </w:rPr>
    </w:lvl>
    <w:lvl w:ilvl="4">
      <w:start w:val="1"/>
      <w:numFmt w:val="bullet"/>
      <w:lvlText w:val="o"/>
      <w:lvlJc w:val="left"/>
      <w:pPr>
        <w:ind w:left="3948" w:hanging="360"/>
      </w:pPr>
      <w:rPr>
        <w:rFonts w:ascii="Courier New" w:hAnsi="Courier New" w:cs="Courier New" w:hint="default"/>
        <w:rFonts w:cs="Courier New"/>
      </w:rPr>
    </w:lvl>
    <w:lvl w:ilvl="5">
      <w:start w:val="1"/>
      <w:numFmt w:val="bullet"/>
      <w:lvlText w:val=""/>
      <w:lvlJc w:val="left"/>
      <w:pPr>
        <w:ind w:left="4668" w:hanging="360"/>
      </w:pPr>
      <w:rPr>
        <w:rFonts w:ascii="Wingdings" w:hAnsi="Wingdings" w:cs="Wingdings" w:hint="default"/>
        <w:rFonts w:cs="Wingdings"/>
      </w:rPr>
    </w:lvl>
    <w:lvl w:ilvl="6">
      <w:start w:val="1"/>
      <w:numFmt w:val="bullet"/>
      <w:lvlText w:val=""/>
      <w:lvlJc w:val="left"/>
      <w:pPr>
        <w:ind w:left="5388" w:hanging="360"/>
      </w:pPr>
      <w:rPr>
        <w:rFonts w:ascii="Symbol" w:hAnsi="Symbol" w:cs="Symbol" w:hint="default"/>
        <w:rFonts w:cs="Symbol"/>
      </w:rPr>
    </w:lvl>
    <w:lvl w:ilvl="7">
      <w:start w:val="1"/>
      <w:numFmt w:val="bullet"/>
      <w:lvlText w:val="o"/>
      <w:lvlJc w:val="left"/>
      <w:pPr>
        <w:ind w:left="6108" w:hanging="360"/>
      </w:pPr>
      <w:rPr>
        <w:rFonts w:ascii="Courier New" w:hAnsi="Courier New" w:cs="Courier New" w:hint="default"/>
        <w:rFonts w:cs="Courier New"/>
      </w:rPr>
    </w:lvl>
    <w:lvl w:ilvl="8">
      <w:start w:val="1"/>
      <w:numFmt w:val="bullet"/>
      <w:lvlText w:val=""/>
      <w:lvlJc w:val="left"/>
      <w:pPr>
        <w:ind w:left="6828" w:hanging="360"/>
      </w:pPr>
      <w:rPr>
        <w:rFonts w:ascii="Wingdings" w:hAnsi="Wingdings" w:cs="Wingdings" w:hint="default"/>
        <w:rFonts w:cs="Wingdings"/>
      </w:rPr>
    </w:lvl>
  </w:abstractNum>
  <w:abstractNum w:abstractNumId="9">
    <w:lvl w:ilvl="0">
      <w:start w:val="1"/>
      <w:numFmt w:val="bullet"/>
      <w:lvlText w:val="-"/>
      <w:lvlJc w:val="left"/>
      <w:pPr>
        <w:ind w:left="1068" w:hanging="360"/>
      </w:pPr>
      <w:rPr>
        <w:rFonts w:ascii="Times New Roman" w:hAnsi="Times New Roman" w:cs="Times New Roman" w:hint="default"/>
        <w:rFonts w:cs="Times New Roman"/>
      </w:r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10">
    <w:lvl w:ilvl="0">
      <w:start w:val="1"/>
      <w:numFmt w:val="bullet"/>
      <w:lvlText w:val="-"/>
      <w:lvlJc w:val="left"/>
      <w:pPr>
        <w:ind w:left="1080" w:hanging="360"/>
      </w:pPr>
      <w:rPr>
        <w:rFonts w:ascii="Times New Roman" w:hAnsi="Times New Roman" w:cs="Times New Roman" w:hint="default"/>
        <w:rFonts w:cs="Times New Roman"/>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11">
    <w:lvl w:ilvl="0">
      <w:start w:val="8"/>
      <w:numFmt w:val="decimal"/>
      <w:lvlText w:val="%1."/>
      <w:lvlJc w:val="left"/>
      <w:pPr>
        <w:ind w:left="720" w:hanging="360"/>
      </w:pPr>
    </w:lvl>
    <w:lvl w:ilvl="1">
      <w:start w:val="1"/>
      <w:numFmt w:val="bullet"/>
      <w:lvlText w:val="-"/>
      <w:lvlJc w:val="left"/>
      <w:pPr>
        <w:ind w:left="1440" w:hanging="360"/>
      </w:pPr>
      <w:rPr>
        <w:rFonts w:ascii="Times New Roman" w:hAnsi="Times New Roman" w:cs="Times New Roman" w:hint="default"/>
        <w:rFonts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lvl w:ilvl="0">
      <w:start w:val="1"/>
      <w:numFmt w:val="upperRoman"/>
      <w:lvlText w:val="%1."/>
      <w:lvlJc w:val="righ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3">
    <w:lvl w:ilvl="0">
      <w:start w:val="1"/>
      <w:numFmt w:val="bullet"/>
      <w:lvlText w:val="-"/>
      <w:lvlJc w:val="left"/>
      <w:pPr>
        <w:ind w:left="720" w:hanging="360"/>
      </w:pPr>
      <w:rPr>
        <w:rFonts w:ascii="Times New Roman" w:hAnsi="Times New Roman" w:cs="Times New Roman" w:hint="default"/>
        <w:rFonts w:cs="Times New Roman"/>
      </w:rPr>
    </w:lvl>
    <w:lvl w:ilvl="1">
      <w:start w:val="1"/>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4">
    <w:lvl w:ilvl="0">
      <w:start w:val="1"/>
      <w:numFmt w:val="decimal"/>
      <w:lvlText w:val="%1."/>
      <w:lvlJc w:val="left"/>
      <w:pPr>
        <w:ind w:left="720" w:hanging="360"/>
      </w:pPr>
    </w:lvl>
    <w:lvl w:ilvl="1">
      <w:start w:val="1"/>
      <w:numFmt w:val="bullet"/>
      <w:lvlText w:val="-"/>
      <w:lvlJc w:val="left"/>
      <w:pPr>
        <w:ind w:left="1080" w:hanging="360"/>
      </w:pPr>
      <w:rPr>
        <w:rFonts w:ascii="Times New Roman" w:hAnsi="Times New Roman" w:cs="Times New Roman" w:hint="default"/>
        <w:rFonts w:cs="Times New Roman"/>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5">
    <w:lvl w:ilvl="0">
      <w:start w:val="1"/>
      <w:numFmt w:val="decimal"/>
      <w:lvlText w:val="%1."/>
      <w:lvlJc w:val="left"/>
      <w:pPr>
        <w:ind w:left="720" w:hanging="360"/>
      </w:pPr>
    </w:lvl>
    <w:lvl w:ilvl="1">
      <w:start w:val="1"/>
      <w:numFmt w:val="bullet"/>
      <w:lvlText w:val="-"/>
      <w:lvlJc w:val="left"/>
      <w:pPr>
        <w:ind w:left="1080" w:hanging="360"/>
      </w:pPr>
      <w:rPr>
        <w:rFonts w:ascii="Times New Roman" w:hAnsi="Times New Roman" w:cs="Times New Roman" w:hint="default"/>
        <w:rFonts w:cs="Times New Roman"/>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6">
    <w:lvl w:ilvl="0">
      <w:start w:val="1"/>
      <w:numFmt w:val="decimal"/>
      <w:lvlText w:val="%1."/>
      <w:lvlJc w:val="left"/>
      <w:pPr>
        <w:ind w:left="720" w:hanging="360"/>
      </w:pPr>
    </w:lvl>
    <w:lvl w:ilvl="1">
      <w:start w:val="1"/>
      <w:numFmt w:val="bullet"/>
      <w:lvlText w:val="-"/>
      <w:lvlJc w:val="left"/>
      <w:pPr>
        <w:ind w:left="1080" w:hanging="360"/>
      </w:pPr>
      <w:rPr>
        <w:rFonts w:ascii="Times New Roman" w:hAnsi="Times New Roman" w:cs="Times New Roman" w:hint="default"/>
        <w:rFonts w:cs="Times New Roman"/>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7">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lvl w:ilvl="0">
      <w:start w:val="2"/>
      <w:numFmt w:val="decimal"/>
      <w:lvlText w:val="%1."/>
      <w:lvlJc w:val="left"/>
      <w:pPr>
        <w:ind w:left="720" w:hanging="360"/>
      </w:pPr>
    </w:lvl>
    <w:lvl w:ilvl="1">
      <w:start w:val="1"/>
      <w:numFmt w:val="bullet"/>
      <w:lvlText w:val="-"/>
      <w:lvlJc w:val="left"/>
      <w:pPr>
        <w:ind w:left="1440" w:hanging="360"/>
      </w:pPr>
      <w:rPr>
        <w:rFonts w:ascii="Times New Roman" w:hAnsi="Times New Roman" w:cs="Times New Roman" w:hint="default"/>
        <w:rFonts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lvl w:ilvl="0">
      <w:start w:val="1"/>
      <w:numFmt w:val="bullet"/>
      <w:lvlText w:val="-"/>
      <w:lvlJc w:val="left"/>
      <w:pPr>
        <w:ind w:left="1146" w:hanging="360"/>
      </w:pPr>
      <w:rPr>
        <w:rFonts w:ascii="Times New Roman" w:hAnsi="Times New Roman" w:cs="Times New Roman" w:hint="default"/>
        <w:b/>
        <w:rFonts w:cs="Times New Roman"/>
      </w:rPr>
    </w:lvl>
    <w:lvl w:ilvl="1">
      <w:start w:val="1"/>
      <w:numFmt w:val="bullet"/>
      <w:lvlText w:val="o"/>
      <w:lvlJc w:val="left"/>
      <w:pPr>
        <w:ind w:left="1866" w:hanging="360"/>
      </w:pPr>
      <w:rPr>
        <w:rFonts w:ascii="Courier New" w:hAnsi="Courier New" w:cs="Courier New" w:hint="default"/>
        <w:rFonts w:cs="Courier New"/>
      </w:rPr>
    </w:lvl>
    <w:lvl w:ilvl="2">
      <w:start w:val="1"/>
      <w:numFmt w:val="bullet"/>
      <w:lvlText w:val=""/>
      <w:lvlJc w:val="left"/>
      <w:pPr>
        <w:ind w:left="2586" w:hanging="360"/>
      </w:pPr>
      <w:rPr>
        <w:rFonts w:ascii="Wingdings" w:hAnsi="Wingdings" w:cs="Wingdings" w:hint="default"/>
        <w:rFonts w:cs="Wingdings"/>
      </w:rPr>
    </w:lvl>
    <w:lvl w:ilvl="3">
      <w:start w:val="1"/>
      <w:numFmt w:val="bullet"/>
      <w:lvlText w:val=""/>
      <w:lvlJc w:val="left"/>
      <w:pPr>
        <w:ind w:left="3306" w:hanging="360"/>
      </w:pPr>
      <w:rPr>
        <w:rFonts w:ascii="Symbol" w:hAnsi="Symbol" w:cs="Symbol" w:hint="default"/>
        <w:rFonts w:cs="Symbol"/>
      </w:rPr>
    </w:lvl>
    <w:lvl w:ilvl="4">
      <w:start w:val="1"/>
      <w:numFmt w:val="bullet"/>
      <w:lvlText w:val="o"/>
      <w:lvlJc w:val="left"/>
      <w:pPr>
        <w:ind w:left="4026" w:hanging="360"/>
      </w:pPr>
      <w:rPr>
        <w:rFonts w:ascii="Courier New" w:hAnsi="Courier New" w:cs="Courier New" w:hint="default"/>
        <w:rFonts w:cs="Courier New"/>
      </w:rPr>
    </w:lvl>
    <w:lvl w:ilvl="5">
      <w:start w:val="1"/>
      <w:numFmt w:val="bullet"/>
      <w:lvlText w:val=""/>
      <w:lvlJc w:val="left"/>
      <w:pPr>
        <w:ind w:left="4746" w:hanging="360"/>
      </w:pPr>
      <w:rPr>
        <w:rFonts w:ascii="Wingdings" w:hAnsi="Wingdings" w:cs="Wingdings" w:hint="default"/>
        <w:rFonts w:cs="Wingdings"/>
      </w:rPr>
    </w:lvl>
    <w:lvl w:ilvl="6">
      <w:start w:val="1"/>
      <w:numFmt w:val="bullet"/>
      <w:lvlText w:val=""/>
      <w:lvlJc w:val="left"/>
      <w:pPr>
        <w:ind w:left="5466" w:hanging="360"/>
      </w:pPr>
      <w:rPr>
        <w:rFonts w:ascii="Symbol" w:hAnsi="Symbol" w:cs="Symbol" w:hint="default"/>
        <w:rFonts w:cs="Symbol"/>
      </w:rPr>
    </w:lvl>
    <w:lvl w:ilvl="7">
      <w:start w:val="1"/>
      <w:numFmt w:val="bullet"/>
      <w:lvlText w:val="o"/>
      <w:lvlJc w:val="left"/>
      <w:pPr>
        <w:ind w:left="6186" w:hanging="360"/>
      </w:pPr>
      <w:rPr>
        <w:rFonts w:ascii="Courier New" w:hAnsi="Courier New" w:cs="Courier New" w:hint="default"/>
        <w:rFonts w:cs="Courier New"/>
      </w:rPr>
    </w:lvl>
    <w:lvl w:ilvl="8">
      <w:start w:val="1"/>
      <w:numFmt w:val="bullet"/>
      <w:lvlText w:val=""/>
      <w:lvlJc w:val="left"/>
      <w:pPr>
        <w:ind w:left="6906" w:hanging="360"/>
      </w:pPr>
      <w:rPr>
        <w:rFonts w:ascii="Wingdings" w:hAnsi="Wingdings" w:cs="Wingdings" w:hint="default"/>
        <w:rFonts w:cs="Wingdings"/>
      </w:rPr>
    </w:lvl>
  </w:abstractNum>
  <w:abstractNum w:abstractNumId="20">
    <w:lvl w:ilvl="0">
      <w:start w:val="1"/>
      <w:numFmt w:val="bullet"/>
      <w:lvlText w:val="-"/>
      <w:lvlJc w:val="left"/>
      <w:pPr>
        <w:ind w:left="1200" w:hanging="360"/>
      </w:pPr>
      <w:rPr>
        <w:rFonts w:ascii="Times New Roman" w:hAnsi="Times New Roman" w:cs="Times New Roman" w:hint="default"/>
        <w:rFonts w:cs="Times New Roman"/>
      </w:rPr>
    </w:lvl>
    <w:lvl w:ilvl="1">
      <w:start w:val="1"/>
      <w:numFmt w:val="bullet"/>
      <w:lvlText w:val="o"/>
      <w:lvlJc w:val="left"/>
      <w:pPr>
        <w:ind w:left="1920" w:hanging="360"/>
      </w:pPr>
      <w:rPr>
        <w:rFonts w:ascii="Courier New" w:hAnsi="Courier New" w:cs="Courier New" w:hint="default"/>
        <w:rFonts w:cs="Courier New"/>
      </w:rPr>
    </w:lvl>
    <w:lvl w:ilvl="2">
      <w:start w:val="1"/>
      <w:numFmt w:val="bullet"/>
      <w:lvlText w:val=""/>
      <w:lvlJc w:val="left"/>
      <w:pPr>
        <w:ind w:left="2640" w:hanging="360"/>
      </w:pPr>
      <w:rPr>
        <w:rFonts w:ascii="Wingdings" w:hAnsi="Wingdings" w:cs="Wingdings" w:hint="default"/>
        <w:rFonts w:cs="Wingdings"/>
      </w:rPr>
    </w:lvl>
    <w:lvl w:ilvl="3">
      <w:start w:val="1"/>
      <w:numFmt w:val="bullet"/>
      <w:lvlText w:val=""/>
      <w:lvlJc w:val="left"/>
      <w:pPr>
        <w:ind w:left="3360" w:hanging="360"/>
      </w:pPr>
      <w:rPr>
        <w:rFonts w:ascii="Symbol" w:hAnsi="Symbol" w:cs="Symbol" w:hint="default"/>
        <w:rFonts w:cs="Symbol"/>
      </w:rPr>
    </w:lvl>
    <w:lvl w:ilvl="4">
      <w:start w:val="1"/>
      <w:numFmt w:val="bullet"/>
      <w:lvlText w:val="o"/>
      <w:lvlJc w:val="left"/>
      <w:pPr>
        <w:ind w:left="4080" w:hanging="360"/>
      </w:pPr>
      <w:rPr>
        <w:rFonts w:ascii="Courier New" w:hAnsi="Courier New" w:cs="Courier New" w:hint="default"/>
        <w:rFonts w:cs="Courier New"/>
      </w:rPr>
    </w:lvl>
    <w:lvl w:ilvl="5">
      <w:start w:val="1"/>
      <w:numFmt w:val="bullet"/>
      <w:lvlText w:val=""/>
      <w:lvlJc w:val="left"/>
      <w:pPr>
        <w:ind w:left="4800" w:hanging="360"/>
      </w:pPr>
      <w:rPr>
        <w:rFonts w:ascii="Wingdings" w:hAnsi="Wingdings" w:cs="Wingdings" w:hint="default"/>
        <w:rFonts w:cs="Wingdings"/>
      </w:rPr>
    </w:lvl>
    <w:lvl w:ilvl="6">
      <w:start w:val="1"/>
      <w:numFmt w:val="bullet"/>
      <w:lvlText w:val=""/>
      <w:lvlJc w:val="left"/>
      <w:pPr>
        <w:ind w:left="5520" w:hanging="360"/>
      </w:pPr>
      <w:rPr>
        <w:rFonts w:ascii="Symbol" w:hAnsi="Symbol" w:cs="Symbol" w:hint="default"/>
        <w:rFonts w:cs="Symbol"/>
      </w:rPr>
    </w:lvl>
    <w:lvl w:ilvl="7">
      <w:start w:val="1"/>
      <w:numFmt w:val="bullet"/>
      <w:lvlText w:val="o"/>
      <w:lvlJc w:val="left"/>
      <w:pPr>
        <w:ind w:left="6240" w:hanging="360"/>
      </w:pPr>
      <w:rPr>
        <w:rFonts w:ascii="Courier New" w:hAnsi="Courier New" w:cs="Courier New" w:hint="default"/>
        <w:rFonts w:cs="Courier New"/>
      </w:rPr>
    </w:lvl>
    <w:lvl w:ilvl="8">
      <w:start w:val="1"/>
      <w:numFmt w:val="bullet"/>
      <w:lvlText w:val=""/>
      <w:lvlJc w:val="left"/>
      <w:pPr>
        <w:ind w:left="6960" w:hanging="360"/>
      </w:pPr>
      <w:rPr>
        <w:rFonts w:ascii="Wingdings" w:hAnsi="Wingdings" w:cs="Wingdings" w:hint="default"/>
        <w:rFonts w:cs="Wingdings"/>
      </w:rPr>
    </w:lvl>
  </w:abstractNum>
  <w:abstractNum w:abstractNumId="21">
    <w:lvl w:ilvl="0">
      <w:start w:val="1"/>
      <w:numFmt w:val="bullet"/>
      <w:lvlText w:val="-"/>
      <w:lvlJc w:val="left"/>
      <w:pPr>
        <w:ind w:left="1428" w:hanging="360"/>
      </w:pPr>
      <w:rPr>
        <w:rFonts w:ascii="Times New Roman" w:hAnsi="Times New Roman" w:cs="Times New Roman" w:hint="default"/>
        <w:b/>
        <w:rFonts w:cs="Times New Roman"/>
      </w:rPr>
    </w:lvl>
    <w:lvl w:ilvl="1">
      <w:start w:val="1"/>
      <w:numFmt w:val="bullet"/>
      <w:lvlText w:val="o"/>
      <w:lvlJc w:val="left"/>
      <w:pPr>
        <w:ind w:left="2148" w:hanging="360"/>
      </w:pPr>
      <w:rPr>
        <w:rFonts w:ascii="Courier New" w:hAnsi="Courier New" w:cs="Courier New" w:hint="default"/>
        <w:rFonts w:cs="Courier New"/>
      </w:rPr>
    </w:lvl>
    <w:lvl w:ilvl="2">
      <w:start w:val="1"/>
      <w:numFmt w:val="bullet"/>
      <w:lvlText w:val=""/>
      <w:lvlJc w:val="left"/>
      <w:pPr>
        <w:ind w:left="2868" w:hanging="360"/>
      </w:pPr>
      <w:rPr>
        <w:rFonts w:ascii="Wingdings" w:hAnsi="Wingdings" w:cs="Wingdings" w:hint="default"/>
        <w:rFonts w:cs="Wingdings"/>
      </w:rPr>
    </w:lvl>
    <w:lvl w:ilvl="3">
      <w:start w:val="1"/>
      <w:numFmt w:val="bullet"/>
      <w:lvlText w:val=""/>
      <w:lvlJc w:val="left"/>
      <w:pPr>
        <w:ind w:left="3588" w:hanging="360"/>
      </w:pPr>
      <w:rPr>
        <w:rFonts w:ascii="Symbol" w:hAnsi="Symbol" w:cs="Symbol" w:hint="default"/>
        <w:rFonts w:cs="Symbol"/>
      </w:rPr>
    </w:lvl>
    <w:lvl w:ilvl="4">
      <w:start w:val="1"/>
      <w:numFmt w:val="bullet"/>
      <w:lvlText w:val="o"/>
      <w:lvlJc w:val="left"/>
      <w:pPr>
        <w:ind w:left="4308" w:hanging="360"/>
      </w:pPr>
      <w:rPr>
        <w:rFonts w:ascii="Courier New" w:hAnsi="Courier New" w:cs="Courier New" w:hint="default"/>
        <w:rFonts w:cs="Courier New"/>
      </w:rPr>
    </w:lvl>
    <w:lvl w:ilvl="5">
      <w:start w:val="1"/>
      <w:numFmt w:val="bullet"/>
      <w:lvlText w:val=""/>
      <w:lvlJc w:val="left"/>
      <w:pPr>
        <w:ind w:left="5028" w:hanging="360"/>
      </w:pPr>
      <w:rPr>
        <w:rFonts w:ascii="Wingdings" w:hAnsi="Wingdings" w:cs="Wingdings" w:hint="default"/>
        <w:rFonts w:cs="Wingdings"/>
      </w:rPr>
    </w:lvl>
    <w:lvl w:ilvl="6">
      <w:start w:val="1"/>
      <w:numFmt w:val="bullet"/>
      <w:lvlText w:val=""/>
      <w:lvlJc w:val="left"/>
      <w:pPr>
        <w:ind w:left="5748" w:hanging="360"/>
      </w:pPr>
      <w:rPr>
        <w:rFonts w:ascii="Symbol" w:hAnsi="Symbol" w:cs="Symbol" w:hint="default"/>
        <w:rFonts w:cs="Symbol"/>
      </w:rPr>
    </w:lvl>
    <w:lvl w:ilvl="7">
      <w:start w:val="1"/>
      <w:numFmt w:val="bullet"/>
      <w:lvlText w:val="o"/>
      <w:lvlJc w:val="left"/>
      <w:pPr>
        <w:ind w:left="6468" w:hanging="360"/>
      </w:pPr>
      <w:rPr>
        <w:rFonts w:ascii="Courier New" w:hAnsi="Courier New" w:cs="Courier New" w:hint="default"/>
        <w:rFonts w:cs="Courier New"/>
      </w:rPr>
    </w:lvl>
    <w:lvl w:ilvl="8">
      <w:start w:val="1"/>
      <w:numFmt w:val="bullet"/>
      <w:lvlText w:val=""/>
      <w:lvlJc w:val="left"/>
      <w:pPr>
        <w:ind w:left="7188" w:hanging="360"/>
      </w:pPr>
      <w:rPr>
        <w:rFonts w:ascii="Wingdings" w:hAnsi="Wingdings" w:cs="Wingdings" w:hint="default"/>
        <w:rFonts w:cs="Wingdings"/>
      </w:rPr>
    </w:lvl>
  </w:abstractNum>
  <w:abstractNum w:abstractNumId="22">
    <w:lvl w:ilvl="0">
      <w:start w:val="1"/>
      <w:numFmt w:val="bullet"/>
      <w:lvlText w:val="-"/>
      <w:lvlJc w:val="left"/>
      <w:pPr>
        <w:ind w:left="1014" w:hanging="360"/>
      </w:pPr>
      <w:rPr>
        <w:rFonts w:ascii="Times New Roman" w:hAnsi="Times New Roman" w:cs="Times New Roman" w:hint="default"/>
        <w:b/>
        <w:rFonts w:cs="Times New Roman"/>
      </w:rPr>
    </w:lvl>
    <w:lvl w:ilvl="1">
      <w:start w:val="1"/>
      <w:numFmt w:val="bullet"/>
      <w:lvlText w:val="o"/>
      <w:lvlJc w:val="left"/>
      <w:pPr>
        <w:ind w:left="1734" w:hanging="360"/>
      </w:pPr>
      <w:rPr>
        <w:rFonts w:ascii="Courier New" w:hAnsi="Courier New" w:cs="Courier New" w:hint="default"/>
        <w:rFonts w:cs="Courier New"/>
      </w:rPr>
    </w:lvl>
    <w:lvl w:ilvl="2">
      <w:start w:val="1"/>
      <w:numFmt w:val="bullet"/>
      <w:lvlText w:val=""/>
      <w:lvlJc w:val="left"/>
      <w:pPr>
        <w:ind w:left="2454" w:hanging="360"/>
      </w:pPr>
      <w:rPr>
        <w:rFonts w:ascii="Wingdings" w:hAnsi="Wingdings" w:cs="Wingdings" w:hint="default"/>
        <w:rFonts w:cs="Wingdings"/>
      </w:rPr>
    </w:lvl>
    <w:lvl w:ilvl="3">
      <w:start w:val="1"/>
      <w:numFmt w:val="bullet"/>
      <w:lvlText w:val=""/>
      <w:lvlJc w:val="left"/>
      <w:pPr>
        <w:ind w:left="3174" w:hanging="360"/>
      </w:pPr>
      <w:rPr>
        <w:rFonts w:ascii="Symbol" w:hAnsi="Symbol" w:cs="Symbol" w:hint="default"/>
        <w:rFonts w:cs="Symbol"/>
      </w:rPr>
    </w:lvl>
    <w:lvl w:ilvl="4">
      <w:start w:val="1"/>
      <w:numFmt w:val="bullet"/>
      <w:lvlText w:val="o"/>
      <w:lvlJc w:val="left"/>
      <w:pPr>
        <w:ind w:left="3894" w:hanging="360"/>
      </w:pPr>
      <w:rPr>
        <w:rFonts w:ascii="Courier New" w:hAnsi="Courier New" w:cs="Courier New" w:hint="default"/>
        <w:rFonts w:cs="Courier New"/>
      </w:rPr>
    </w:lvl>
    <w:lvl w:ilvl="5">
      <w:start w:val="1"/>
      <w:numFmt w:val="bullet"/>
      <w:lvlText w:val=""/>
      <w:lvlJc w:val="left"/>
      <w:pPr>
        <w:ind w:left="4614" w:hanging="360"/>
      </w:pPr>
      <w:rPr>
        <w:rFonts w:ascii="Wingdings" w:hAnsi="Wingdings" w:cs="Wingdings" w:hint="default"/>
        <w:rFonts w:cs="Wingdings"/>
      </w:rPr>
    </w:lvl>
    <w:lvl w:ilvl="6">
      <w:start w:val="1"/>
      <w:numFmt w:val="bullet"/>
      <w:lvlText w:val=""/>
      <w:lvlJc w:val="left"/>
      <w:pPr>
        <w:ind w:left="5334" w:hanging="360"/>
      </w:pPr>
      <w:rPr>
        <w:rFonts w:ascii="Symbol" w:hAnsi="Symbol" w:cs="Symbol" w:hint="default"/>
        <w:rFonts w:cs="Symbol"/>
      </w:rPr>
    </w:lvl>
    <w:lvl w:ilvl="7">
      <w:start w:val="1"/>
      <w:numFmt w:val="bullet"/>
      <w:lvlText w:val="o"/>
      <w:lvlJc w:val="left"/>
      <w:pPr>
        <w:ind w:left="6054" w:hanging="360"/>
      </w:pPr>
      <w:rPr>
        <w:rFonts w:ascii="Courier New" w:hAnsi="Courier New" w:cs="Courier New" w:hint="default"/>
        <w:rFonts w:cs="Courier New"/>
      </w:rPr>
    </w:lvl>
    <w:lvl w:ilvl="8">
      <w:start w:val="1"/>
      <w:numFmt w:val="bullet"/>
      <w:lvlText w:val=""/>
      <w:lvlJc w:val="left"/>
      <w:pPr>
        <w:ind w:left="6774" w:hanging="360"/>
      </w:pPr>
      <w:rPr>
        <w:rFonts w:ascii="Wingdings" w:hAnsi="Wingdings" w:cs="Wingdings" w:hint="default"/>
        <w:rFonts w:cs="Wingdings"/>
      </w:rPr>
    </w:lvl>
  </w:abstractNum>
  <w:abstractNum w:abstractNumId="23">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lvl w:ilvl="0">
      <w:start w:val="44"/>
      <w:numFmt w:val="bullet"/>
      <w:lvlText w:val="-"/>
      <w:lvlJc w:val="left"/>
      <w:pPr>
        <w:tabs>
          <w:tab w:val="num" w:pos="720"/>
        </w:tabs>
        <w:ind w:left="720" w:hanging="360"/>
      </w:pPr>
      <w:rPr>
        <w:rFonts w:ascii="Times New Roman" w:hAnsi="Times New Roman" w:cs="Times New Roman" w:hint="default"/>
        <w:rFonts w:cs="Times New Roman"/>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Fonts w:cs="Wingdings"/>
      </w:rPr>
    </w:lvl>
    <w:lvl w:ilvl="3">
      <w:start w:val="1"/>
      <w:numFmt w:val="bullet"/>
      <w:lvlText w:val=""/>
      <w:lvlJc w:val="left"/>
      <w:pPr>
        <w:tabs>
          <w:tab w:val="num" w:pos="2880"/>
        </w:tabs>
        <w:ind w:left="2880" w:hanging="360"/>
      </w:pPr>
      <w:rPr>
        <w:rFonts w:ascii="Symbol" w:hAnsi="Symbol" w:cs="Symbol" w:hint="default"/>
        <w:rFonts w:cs="Symbol"/>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Fonts w:cs="Wingdings"/>
      </w:rPr>
    </w:lvl>
    <w:lvl w:ilvl="6">
      <w:start w:val="1"/>
      <w:numFmt w:val="bullet"/>
      <w:lvlText w:val=""/>
      <w:lvlJc w:val="left"/>
      <w:pPr>
        <w:tabs>
          <w:tab w:val="num" w:pos="5040"/>
        </w:tabs>
        <w:ind w:left="5040" w:hanging="360"/>
      </w:pPr>
      <w:rPr>
        <w:rFonts w:ascii="Symbol" w:hAnsi="Symbol" w:cs="Symbol" w:hint="default"/>
        <w:rFonts w:cs="Symbol"/>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Fonts w:cs="Wingdings"/>
      </w:rPr>
    </w:lvl>
  </w:abstractNum>
  <w:abstractNum w:abstractNumId="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lvl w:ilvl="0">
      <w:start w:val="1"/>
      <w:numFmt w:val="bullet"/>
      <w:lvlText w:val=""/>
      <w:lvlJc w:val="left"/>
      <w:pPr>
        <w:tabs>
          <w:tab w:val="num" w:pos="720"/>
        </w:tabs>
        <w:ind w:left="720" w:hanging="360"/>
      </w:pPr>
      <w:rPr>
        <w:rFonts w:ascii="Wingdings" w:hAnsi="Wingdings" w:cs="Wingdings" w:hint="default"/>
        <w:rFonts w:cs="Wingding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Fonts w:cs="Wingdings"/>
      </w:rPr>
    </w:lvl>
    <w:lvl w:ilvl="3">
      <w:start w:val="1"/>
      <w:numFmt w:val="bullet"/>
      <w:lvlText w:val=""/>
      <w:lvlJc w:val="left"/>
      <w:pPr>
        <w:tabs>
          <w:tab w:val="num" w:pos="2880"/>
        </w:tabs>
        <w:ind w:left="2880" w:hanging="360"/>
      </w:pPr>
      <w:rPr>
        <w:rFonts w:ascii="Symbol" w:hAnsi="Symbol" w:cs="Symbol" w:hint="default"/>
        <w:rFonts w:cs="Symbol"/>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Fonts w:cs="Wingdings"/>
      </w:rPr>
    </w:lvl>
    <w:lvl w:ilvl="6">
      <w:start w:val="1"/>
      <w:numFmt w:val="bullet"/>
      <w:lvlText w:val=""/>
      <w:lvlJc w:val="left"/>
      <w:pPr>
        <w:tabs>
          <w:tab w:val="num" w:pos="5040"/>
        </w:tabs>
        <w:ind w:left="5040" w:hanging="360"/>
      </w:pPr>
      <w:rPr>
        <w:rFonts w:ascii="Symbol" w:hAnsi="Symbol" w:cs="Symbol" w:hint="default"/>
        <w:rFonts w:cs="Symbol"/>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Fonts w:cs="Wingdings"/>
      </w:rPr>
    </w:lvl>
  </w:abstractNum>
  <w:abstractNum w:abstractNumId="2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bering>
</file>

<file path=word/settings.xml><?xml version="1.0" encoding="utf-8"?>
<w:settings xmlns:w="http://schemas.openxmlformats.org/wordprocessingml/2006/main">
  <w:zoom w:percent="100"/>
  <w:defaultTabStop w:val="708"/>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fr-FR"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uiPriority="10" w:semiHidden="0" w:unhideWhenUsed="0" w:qFormat="1"/>
    <w:lsdException w:name="Default Paragraph Font" w:uiPriority="1"/>
    <w:lsdException w:name="Body Text" w:uiPriority="0"/>
    <w:lsdException w:name="Body Text Indent" w:uiPriority="0"/>
    <w:lsdException w:name="Subtitle" w:uiPriority="11" w:semiHidden="0" w:unhideWhenUsed="0" w:qFormat="1"/>
    <w:lsdException w:name="Body Text 2" w:uiPriority="0"/>
    <w:lsdException w:name="Hyperlink" w:uiPriority="0"/>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5261c3"/>
    <w:pPr>
      <w:widowControl/>
      <w:bidi w:val="0"/>
      <w:spacing w:lineRule="auto" w:line="240" w:before="0" w:after="0"/>
      <w:jc w:val="left"/>
    </w:pPr>
    <w:rPr>
      <w:rFonts w:ascii="Times New Roman" w:hAnsi="Times New Roman" w:eastAsia="Times New Roman" w:cs="Times New Roman"/>
      <w:color w:val="auto"/>
      <w:kern w:val="0"/>
      <w:sz w:val="24"/>
      <w:szCs w:val="24"/>
      <w:lang w:val="fr-FR" w:eastAsia="fr-FR" w:bidi="ar-SA"/>
    </w:rPr>
  </w:style>
  <w:style w:type="paragraph" w:styleId="Titre1">
    <w:name w:val="Heading 1"/>
    <w:basedOn w:val="Normal"/>
    <w:next w:val="Normal"/>
    <w:link w:val="Titre1Car"/>
    <w:qFormat/>
    <w:rsid w:val="005261c3"/>
    <w:pPr>
      <w:keepNext w:val="true"/>
      <w:jc w:val="both"/>
      <w:outlineLvl w:val="0"/>
    </w:pPr>
    <w:rPr>
      <w:b/>
      <w:bCs/>
    </w:rPr>
  </w:style>
  <w:style w:type="paragraph" w:styleId="Titre2">
    <w:name w:val="Heading 2"/>
    <w:basedOn w:val="Normal"/>
    <w:next w:val="Normal"/>
    <w:link w:val="Titre2Car"/>
    <w:qFormat/>
    <w:rsid w:val="005261c3"/>
    <w:pPr>
      <w:keepNext w:val="true"/>
      <w:suppressAutoHyphens w:val="true"/>
      <w:jc w:val="both"/>
      <w:outlineLvl w:val="1"/>
    </w:pPr>
    <w:rPr>
      <w:b/>
      <w:i/>
      <w:spacing w:val="0"/>
      <w:sz w:val="17"/>
      <w:szCs w:val="20"/>
    </w:rPr>
  </w:style>
  <w:style w:type="paragraph" w:styleId="Titre3">
    <w:name w:val="Heading 3"/>
    <w:basedOn w:val="Normal"/>
    <w:next w:val="Normal"/>
    <w:link w:val="Titre3Car"/>
    <w:qFormat/>
    <w:rsid w:val="005261c3"/>
    <w:pPr>
      <w:keepNext w:val="true"/>
      <w:outlineLvl w:val="2"/>
    </w:pPr>
    <w:rPr>
      <w:sz w:val="40"/>
    </w:rPr>
  </w:style>
  <w:style w:type="paragraph" w:styleId="Titre4">
    <w:name w:val="Heading 4"/>
    <w:basedOn w:val="Normal"/>
    <w:next w:val="Normal"/>
    <w:link w:val="Titre4Car"/>
    <w:qFormat/>
    <w:rsid w:val="005261c3"/>
    <w:pPr>
      <w:keepNext w:val="true"/>
      <w:outlineLvl w:val="3"/>
    </w:pPr>
    <w:rPr>
      <w:b/>
      <w:bCs/>
    </w:rPr>
  </w:style>
  <w:style w:type="character" w:styleId="DefaultParagraphFont" w:default="1">
    <w:name w:val="Default Paragraph Font"/>
    <w:uiPriority w:val="1"/>
    <w:semiHidden/>
    <w:unhideWhenUsed/>
    <w:qFormat/>
    <w:rPr/>
  </w:style>
  <w:style w:type="character" w:styleId="Titre1Car" w:customStyle="1">
    <w:name w:val="Titre 1 Car"/>
    <w:basedOn w:val="DefaultParagraphFont"/>
    <w:link w:val="Titre1"/>
    <w:qFormat/>
    <w:rsid w:val="005261c3"/>
    <w:rPr>
      <w:rFonts w:ascii="Times New Roman" w:hAnsi="Times New Roman" w:eastAsia="Times New Roman" w:cs="Times New Roman"/>
      <w:b/>
      <w:bCs/>
      <w:sz w:val="24"/>
      <w:szCs w:val="24"/>
      <w:lang w:eastAsia="fr-FR"/>
    </w:rPr>
  </w:style>
  <w:style w:type="character" w:styleId="Titre2Car" w:customStyle="1">
    <w:name w:val="Titre 2 Car"/>
    <w:basedOn w:val="DefaultParagraphFont"/>
    <w:link w:val="Titre2"/>
    <w:qFormat/>
    <w:rsid w:val="005261c3"/>
    <w:rPr>
      <w:rFonts w:ascii="Times New Roman" w:hAnsi="Times New Roman" w:eastAsia="Times New Roman" w:cs="Times New Roman"/>
      <w:b/>
      <w:i/>
      <w:spacing w:val="0"/>
      <w:sz w:val="17"/>
      <w:szCs w:val="20"/>
      <w:lang w:eastAsia="fr-FR"/>
    </w:rPr>
  </w:style>
  <w:style w:type="character" w:styleId="Titre3Car" w:customStyle="1">
    <w:name w:val="Titre 3 Car"/>
    <w:basedOn w:val="DefaultParagraphFont"/>
    <w:link w:val="Titre3"/>
    <w:qFormat/>
    <w:rsid w:val="005261c3"/>
    <w:rPr>
      <w:rFonts w:ascii="Times New Roman" w:hAnsi="Times New Roman" w:eastAsia="Times New Roman" w:cs="Times New Roman"/>
      <w:sz w:val="40"/>
      <w:szCs w:val="24"/>
      <w:lang w:eastAsia="fr-FR"/>
    </w:rPr>
  </w:style>
  <w:style w:type="character" w:styleId="Titre4Car" w:customStyle="1">
    <w:name w:val="Titre 4 Car"/>
    <w:basedOn w:val="DefaultParagraphFont"/>
    <w:link w:val="Titre4"/>
    <w:qFormat/>
    <w:rsid w:val="005261c3"/>
    <w:rPr>
      <w:rFonts w:ascii="Times New Roman" w:hAnsi="Times New Roman" w:eastAsia="Times New Roman" w:cs="Times New Roman"/>
      <w:b/>
      <w:bCs/>
      <w:sz w:val="24"/>
      <w:szCs w:val="24"/>
      <w:lang w:eastAsia="fr-FR"/>
    </w:rPr>
  </w:style>
  <w:style w:type="character" w:styleId="RetraitcorpsdetexteCar" w:customStyle="1">
    <w:name w:val="Retrait corps de texte Car"/>
    <w:basedOn w:val="DefaultParagraphFont"/>
    <w:link w:val="Retraitcorpsdetexte"/>
    <w:semiHidden/>
    <w:qFormat/>
    <w:rsid w:val="005261c3"/>
    <w:rPr>
      <w:rFonts w:ascii="Times New Roman" w:hAnsi="Times New Roman" w:eastAsia="Times New Roman" w:cs="Times New Roman"/>
      <w:sz w:val="24"/>
      <w:szCs w:val="24"/>
      <w:lang w:eastAsia="fr-FR"/>
    </w:rPr>
  </w:style>
  <w:style w:type="character" w:styleId="CorpsdetexteCar" w:customStyle="1">
    <w:name w:val="Corps de texte Car"/>
    <w:basedOn w:val="DefaultParagraphFont"/>
    <w:link w:val="Corpsdetexte"/>
    <w:semiHidden/>
    <w:qFormat/>
    <w:rsid w:val="005261c3"/>
    <w:rPr>
      <w:rFonts w:ascii="Times New Roman" w:hAnsi="Times New Roman" w:eastAsia="Times New Roman" w:cs="Times New Roman"/>
      <w:sz w:val="24"/>
      <w:szCs w:val="24"/>
      <w:lang w:eastAsia="fr-FR"/>
    </w:rPr>
  </w:style>
  <w:style w:type="character" w:styleId="LienInternet">
    <w:name w:val="Lien Internet"/>
    <w:basedOn w:val="DefaultParagraphFont"/>
    <w:semiHidden/>
    <w:rsid w:val="005261c3"/>
    <w:rPr>
      <w:color w:val="0000FF"/>
      <w:u w:val="single"/>
    </w:rPr>
  </w:style>
  <w:style w:type="character" w:styleId="Corpsdetexte2Car" w:customStyle="1">
    <w:name w:val="Corps de texte 2 Car"/>
    <w:basedOn w:val="DefaultParagraphFont"/>
    <w:link w:val="Corpsdetexte2"/>
    <w:semiHidden/>
    <w:qFormat/>
    <w:rsid w:val="005261c3"/>
    <w:rPr>
      <w:rFonts w:ascii="Times New Roman" w:hAnsi="Times New Roman" w:eastAsia="Times New Roman" w:cs="Times New Roman"/>
      <w:b/>
      <w:bCs/>
      <w:sz w:val="24"/>
      <w:szCs w:val="24"/>
      <w:lang w:eastAsia="fr-FR"/>
    </w:rPr>
  </w:style>
  <w:style w:type="character" w:styleId="Strong">
    <w:name w:val="Strong"/>
    <w:basedOn w:val="DefaultParagraphFont"/>
    <w:uiPriority w:val="22"/>
    <w:qFormat/>
    <w:rsid w:val="005261c3"/>
    <w:rPr>
      <w:b/>
      <w:bCs/>
    </w:rPr>
  </w:style>
  <w:style w:type="character" w:styleId="TextedebullesCar" w:customStyle="1">
    <w:name w:val="Texte de bulles Car"/>
    <w:basedOn w:val="DefaultParagraphFont"/>
    <w:link w:val="Textedebulles"/>
    <w:uiPriority w:val="99"/>
    <w:semiHidden/>
    <w:qFormat/>
    <w:rsid w:val="00017ab2"/>
    <w:rPr>
      <w:rFonts w:ascii="Tahoma" w:hAnsi="Tahoma" w:eastAsia="Times New Roman" w:cs="Tahoma"/>
      <w:sz w:val="16"/>
      <w:szCs w:val="16"/>
      <w:lang w:eastAsia="fr-FR"/>
    </w:rPr>
  </w:style>
  <w:style w:type="character" w:styleId="EntteCar" w:customStyle="1">
    <w:name w:val="En-tête Car"/>
    <w:basedOn w:val="DefaultParagraphFont"/>
    <w:link w:val="En-tte"/>
    <w:uiPriority w:val="99"/>
    <w:qFormat/>
    <w:rsid w:val="00071602"/>
    <w:rPr>
      <w:rFonts w:ascii="Times New Roman" w:hAnsi="Times New Roman" w:eastAsia="Times New Roman" w:cs="Times New Roman"/>
      <w:sz w:val="24"/>
      <w:szCs w:val="24"/>
      <w:lang w:eastAsia="fr-FR"/>
    </w:rPr>
  </w:style>
  <w:style w:type="character" w:styleId="PieddepageCar" w:customStyle="1">
    <w:name w:val="Pied de page Car"/>
    <w:basedOn w:val="DefaultParagraphFont"/>
    <w:link w:val="Pieddepage"/>
    <w:uiPriority w:val="99"/>
    <w:qFormat/>
    <w:rsid w:val="00071602"/>
    <w:rPr>
      <w:rFonts w:ascii="Times New Roman" w:hAnsi="Times New Roman" w:eastAsia="Times New Roman" w:cs="Times New Roman"/>
      <w:sz w:val="24"/>
      <w:szCs w:val="24"/>
      <w:lang w:eastAsia="fr-FR"/>
    </w:rPr>
  </w:style>
  <w:style w:type="character" w:styleId="Pagenumber">
    <w:name w:val="page number"/>
    <w:basedOn w:val="DefaultParagraphFont"/>
    <w:qFormat/>
    <w:rsid w:val="00fc4749"/>
    <w:rPr/>
  </w:style>
  <w:style w:type="character" w:styleId="ListLabel1">
    <w:name w:val="ListLabel 1"/>
    <w:qFormat/>
    <w:rPr>
      <w:rFonts w:eastAsia="Times New Roman" w:cs="Times New Roman"/>
    </w:rPr>
  </w:style>
  <w:style w:type="character" w:styleId="ListLabel2">
    <w:name w:val="ListLabel 2"/>
    <w:qFormat/>
    <w:rPr>
      <w:rFonts w:eastAsia="Times New Roman" w:cs="Times New Roman"/>
      <w:sz w:val="20"/>
    </w:rPr>
  </w:style>
  <w:style w:type="character" w:styleId="ListLabel3">
    <w:name w:val="ListLabel 3"/>
    <w:qFormat/>
    <w:rPr>
      <w:rFonts w:eastAsia="Times New Roman" w:cs="Times New Roman"/>
    </w:rPr>
  </w:style>
  <w:style w:type="character" w:styleId="ListLabel4">
    <w:name w:val="ListLabel 4"/>
    <w:qFormat/>
    <w:rPr>
      <w:rFonts w:eastAsia="Times New Roman" w:cs="Times New Roman"/>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eastAsia="Times New Roman" w:cs="Times New Roman"/>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eastAsia="Times New Roman" w:cs="Times New Roman"/>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eastAsia="Times New Roman" w:cs="Times New Roman"/>
    </w:rPr>
  </w:style>
  <w:style w:type="character" w:styleId="ListLabel17">
    <w:name w:val="ListLabel 17"/>
    <w:qFormat/>
    <w:rPr>
      <w:rFonts w:eastAsia="Times New Roman" w:cs="Times New Roman"/>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eastAsia="Times New Roman" w:cs="Times New Roman"/>
    </w:rPr>
  </w:style>
  <w:style w:type="character" w:styleId="ListLabel22">
    <w:name w:val="ListLabel 22"/>
    <w:qFormat/>
    <w:rPr>
      <w:rFonts w:eastAsia="Times New Roman" w:cs="Times New Roman"/>
    </w:rPr>
  </w:style>
  <w:style w:type="character" w:styleId="ListLabel23">
    <w:name w:val="ListLabel 23"/>
    <w:qFormat/>
    <w:rPr>
      <w:rFonts w:eastAsia="Times New Roman" w:cs="Times New Roman"/>
    </w:rPr>
  </w:style>
  <w:style w:type="character" w:styleId="ListLabel24">
    <w:name w:val="ListLabel 24"/>
    <w:qFormat/>
    <w:rPr>
      <w:rFonts w:eastAsia="Times New Roman" w:cs="Times New Roman"/>
    </w:rPr>
  </w:style>
  <w:style w:type="character" w:styleId="ListLabel25">
    <w:name w:val="ListLabel 25"/>
    <w:qFormat/>
    <w:rPr>
      <w:rFonts w:eastAsia="Times New Roman" w:cs="Times New Roman"/>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eastAsia="Times New Roman" w:cs="Times New Roman"/>
    </w:rPr>
  </w:style>
  <w:style w:type="character" w:styleId="ListLabel29">
    <w:name w:val="ListLabel 29"/>
    <w:qFormat/>
    <w:rPr>
      <w:rFonts w:eastAsia="Times New Roman" w:cs="Times New Roman"/>
    </w:rPr>
  </w:style>
  <w:style w:type="character" w:styleId="ListLabel30">
    <w:name w:val="ListLabel 30"/>
    <w:qFormat/>
    <w:rPr>
      <w:rFonts w:eastAsia="Times New Roman" w:cs="Times New Roman"/>
    </w:rPr>
  </w:style>
  <w:style w:type="character" w:styleId="ListLabel31">
    <w:name w:val="ListLabel 31"/>
    <w:qFormat/>
    <w:rPr>
      <w:rFonts w:eastAsia="Times New Roman" w:cs="Times New Roman"/>
    </w:rPr>
  </w:style>
  <w:style w:type="character" w:styleId="ListLabel32">
    <w:name w:val="ListLabel 32"/>
    <w:qFormat/>
    <w:rPr>
      <w:rFonts w:eastAsia="Times New Roman" w:cs="Times New Roman"/>
      <w:b/>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rFonts w:eastAsia="Times New Roman" w:cs="Times New Roman"/>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rFonts w:eastAsia="Times New Roman" w:cs="Times New Roman"/>
      <w:b/>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cs="Courier New"/>
    </w:rPr>
  </w:style>
  <w:style w:type="character" w:styleId="ListLabel44">
    <w:name w:val="ListLabel 44"/>
    <w:qFormat/>
    <w:rPr>
      <w:rFonts w:eastAsia="Times New Roman" w:cs="Times New Roman"/>
      <w:b/>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cs="Courier New"/>
    </w:rPr>
  </w:style>
  <w:style w:type="character" w:styleId="ListLabel48">
    <w:name w:val="ListLabel 48"/>
    <w:qFormat/>
    <w:rPr>
      <w:rFonts w:eastAsia="Times New Roman" w:cs="Times New Roman"/>
      <w:color w:val="2A2A2D"/>
      <w:w w:val="110"/>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cs="Courier New"/>
    </w:rPr>
  </w:style>
  <w:style w:type="character" w:styleId="ListLabel52">
    <w:name w:val="ListLabel 52"/>
    <w:qFormat/>
    <w:rPr>
      <w:rFonts w:eastAsia="Times New Roman" w:cs="Times New Roman"/>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Times New Roman"/>
    </w:rPr>
  </w:style>
  <w:style w:type="character" w:styleId="ListLabel57">
    <w:name w:val="ListLabel 57"/>
    <w:qFormat/>
    <w:rPr>
      <w:rFonts w:cs="Courier New"/>
    </w:rPr>
  </w:style>
  <w:style w:type="character" w:styleId="ListLabel58">
    <w:name w:val="ListLabel 58"/>
    <w:qFormat/>
    <w:rPr>
      <w:rFonts w:cs="Wingdings"/>
    </w:rPr>
  </w:style>
  <w:style w:type="character" w:styleId="ListLabel59">
    <w:name w:val="ListLabel 59"/>
    <w:qFormat/>
    <w:rPr>
      <w:rFonts w:cs="Symbol"/>
    </w:rPr>
  </w:style>
  <w:style w:type="character" w:styleId="ListLabel60">
    <w:name w:val="ListLabel 60"/>
    <w:qFormat/>
    <w:rPr>
      <w:rFonts w:cs="Courier New"/>
    </w:rPr>
  </w:style>
  <w:style w:type="character" w:styleId="ListLabel61">
    <w:name w:val="ListLabel 61"/>
    <w:qFormat/>
    <w:rPr>
      <w:rFonts w:cs="Wingdings"/>
    </w:rPr>
  </w:style>
  <w:style w:type="character" w:styleId="ListLabel62">
    <w:name w:val="ListLabel 62"/>
    <w:qFormat/>
    <w:rPr>
      <w:rFonts w:cs="Symbol"/>
    </w:rPr>
  </w:style>
  <w:style w:type="character" w:styleId="ListLabel63">
    <w:name w:val="ListLabel 63"/>
    <w:qFormat/>
    <w:rPr>
      <w:rFonts w:cs="Courier New"/>
    </w:rPr>
  </w:style>
  <w:style w:type="character" w:styleId="ListLabel64">
    <w:name w:val="ListLabel 64"/>
    <w:qFormat/>
    <w:rPr>
      <w:rFonts w:cs="Wingdings"/>
    </w:rPr>
  </w:style>
  <w:style w:type="character" w:styleId="ListLabel65">
    <w:name w:val="ListLabel 65"/>
    <w:qFormat/>
    <w:rPr>
      <w:rFonts w:cs="Times New Roman"/>
      <w:sz w:val="20"/>
    </w:rPr>
  </w:style>
  <w:style w:type="character" w:styleId="ListLabel66">
    <w:name w:val="ListLabel 66"/>
    <w:qFormat/>
    <w:rPr>
      <w:rFonts w:cs="Courier New"/>
    </w:rPr>
  </w:style>
  <w:style w:type="character" w:styleId="ListLabel67">
    <w:name w:val="ListLabel 67"/>
    <w:qFormat/>
    <w:rPr>
      <w:rFonts w:cs="Wingdings"/>
    </w:rPr>
  </w:style>
  <w:style w:type="character" w:styleId="ListLabel68">
    <w:name w:val="ListLabel 68"/>
    <w:qFormat/>
    <w:rPr>
      <w:rFonts w:cs="Symbol"/>
    </w:rPr>
  </w:style>
  <w:style w:type="character" w:styleId="ListLabel69">
    <w:name w:val="ListLabel 69"/>
    <w:qFormat/>
    <w:rPr>
      <w:rFonts w:cs="Courier New"/>
    </w:rPr>
  </w:style>
  <w:style w:type="character" w:styleId="ListLabel70">
    <w:name w:val="ListLabel 70"/>
    <w:qFormat/>
    <w:rPr>
      <w:rFonts w:cs="Wingdings"/>
    </w:rPr>
  </w:style>
  <w:style w:type="character" w:styleId="ListLabel71">
    <w:name w:val="ListLabel 71"/>
    <w:qFormat/>
    <w:rPr>
      <w:rFonts w:cs="Symbol"/>
    </w:rPr>
  </w:style>
  <w:style w:type="character" w:styleId="ListLabel72">
    <w:name w:val="ListLabel 72"/>
    <w:qFormat/>
    <w:rPr>
      <w:rFonts w:cs="Courier New"/>
    </w:rPr>
  </w:style>
  <w:style w:type="character" w:styleId="ListLabel73">
    <w:name w:val="ListLabel 73"/>
    <w:qFormat/>
    <w:rPr>
      <w:rFonts w:cs="Wingdings"/>
    </w:rPr>
  </w:style>
  <w:style w:type="character" w:styleId="ListLabel74">
    <w:name w:val="ListLabel 74"/>
    <w:qFormat/>
    <w:rPr>
      <w:rFonts w:cs="Times New Roman"/>
    </w:rPr>
  </w:style>
  <w:style w:type="character" w:styleId="ListLabel75">
    <w:name w:val="ListLabel 75"/>
    <w:qFormat/>
    <w:rPr>
      <w:rFonts w:cs="Times New Roman"/>
    </w:rPr>
  </w:style>
  <w:style w:type="character" w:styleId="ListLabel76">
    <w:name w:val="ListLabel 76"/>
    <w:qFormat/>
    <w:rPr>
      <w:rFonts w:cs="Symbol"/>
    </w:rPr>
  </w:style>
  <w:style w:type="character" w:styleId="ListLabel77">
    <w:name w:val="ListLabel 77"/>
    <w:qFormat/>
    <w:rPr>
      <w:rFonts w:cs="Courier New"/>
    </w:rPr>
  </w:style>
  <w:style w:type="character" w:styleId="ListLabel78">
    <w:name w:val="ListLabel 78"/>
    <w:qFormat/>
    <w:rPr>
      <w:rFonts w:cs="Wingdings"/>
    </w:rPr>
  </w:style>
  <w:style w:type="character" w:styleId="ListLabel79">
    <w:name w:val="ListLabel 79"/>
    <w:qFormat/>
    <w:rPr>
      <w:rFonts w:cs="Symbol"/>
    </w:rPr>
  </w:style>
  <w:style w:type="character" w:styleId="ListLabel80">
    <w:name w:val="ListLabel 80"/>
    <w:qFormat/>
    <w:rPr>
      <w:rFonts w:cs="Courier New"/>
    </w:rPr>
  </w:style>
  <w:style w:type="character" w:styleId="ListLabel81">
    <w:name w:val="ListLabel 81"/>
    <w:qFormat/>
    <w:rPr>
      <w:rFonts w:cs="Wingdings"/>
    </w:rPr>
  </w:style>
  <w:style w:type="character" w:styleId="ListLabel82">
    <w:name w:val="ListLabel 82"/>
    <w:qFormat/>
    <w:rPr>
      <w:rFonts w:cs="Symbol"/>
    </w:rPr>
  </w:style>
  <w:style w:type="character" w:styleId="ListLabel83">
    <w:name w:val="ListLabel 83"/>
    <w:qFormat/>
    <w:rPr>
      <w:rFonts w:cs="Courier New"/>
    </w:rPr>
  </w:style>
  <w:style w:type="character" w:styleId="ListLabel84">
    <w:name w:val="ListLabel 84"/>
    <w:qFormat/>
    <w:rPr>
      <w:rFonts w:cs="Wingdings"/>
    </w:rPr>
  </w:style>
  <w:style w:type="character" w:styleId="ListLabel85">
    <w:name w:val="ListLabel 85"/>
    <w:qFormat/>
    <w:rPr>
      <w:rFonts w:cs="Times New Roman"/>
    </w:rPr>
  </w:style>
  <w:style w:type="character" w:styleId="ListLabel86">
    <w:name w:val="ListLabel 86"/>
    <w:qFormat/>
    <w:rPr>
      <w:rFonts w:cs="Courier New"/>
    </w:rPr>
  </w:style>
  <w:style w:type="character" w:styleId="ListLabel87">
    <w:name w:val="ListLabel 87"/>
    <w:qFormat/>
    <w:rPr>
      <w:rFonts w:cs="Wingdings"/>
    </w:rPr>
  </w:style>
  <w:style w:type="character" w:styleId="ListLabel88">
    <w:name w:val="ListLabel 88"/>
    <w:qFormat/>
    <w:rPr>
      <w:rFonts w:cs="Symbol"/>
    </w:rPr>
  </w:style>
  <w:style w:type="character" w:styleId="ListLabel89">
    <w:name w:val="ListLabel 89"/>
    <w:qFormat/>
    <w:rPr>
      <w:rFonts w:cs="Courier New"/>
    </w:rPr>
  </w:style>
  <w:style w:type="character" w:styleId="ListLabel90">
    <w:name w:val="ListLabel 90"/>
    <w:qFormat/>
    <w:rPr>
      <w:rFonts w:cs="Wingdings"/>
    </w:rPr>
  </w:style>
  <w:style w:type="character" w:styleId="ListLabel91">
    <w:name w:val="ListLabel 91"/>
    <w:qFormat/>
    <w:rPr>
      <w:rFonts w:cs="Symbol"/>
    </w:rPr>
  </w:style>
  <w:style w:type="character" w:styleId="ListLabel92">
    <w:name w:val="ListLabel 92"/>
    <w:qFormat/>
    <w:rPr>
      <w:rFonts w:cs="Courier New"/>
    </w:rPr>
  </w:style>
  <w:style w:type="character" w:styleId="ListLabel93">
    <w:name w:val="ListLabel 93"/>
    <w:qFormat/>
    <w:rPr>
      <w:rFonts w:cs="Wingdings"/>
    </w:rPr>
  </w:style>
  <w:style w:type="character" w:styleId="ListLabel94">
    <w:name w:val="ListLabel 94"/>
    <w:qFormat/>
    <w:rPr>
      <w:rFonts w:cs="Times New Roman"/>
    </w:rPr>
  </w:style>
  <w:style w:type="character" w:styleId="ListLabel95">
    <w:name w:val="ListLabel 95"/>
    <w:qFormat/>
    <w:rPr>
      <w:rFonts w:cs="Times New Roman"/>
    </w:rPr>
  </w:style>
  <w:style w:type="character" w:styleId="ListLabel96">
    <w:name w:val="ListLabel 96"/>
    <w:qFormat/>
    <w:rPr>
      <w:rFonts w:cs="Courier New"/>
    </w:rPr>
  </w:style>
  <w:style w:type="character" w:styleId="ListLabel97">
    <w:name w:val="ListLabel 97"/>
    <w:qFormat/>
    <w:rPr>
      <w:rFonts w:cs="Wingdings"/>
    </w:rPr>
  </w:style>
  <w:style w:type="character" w:styleId="ListLabel98">
    <w:name w:val="ListLabel 98"/>
    <w:qFormat/>
    <w:rPr>
      <w:rFonts w:cs="Symbol"/>
    </w:rPr>
  </w:style>
  <w:style w:type="character" w:styleId="ListLabel99">
    <w:name w:val="ListLabel 99"/>
    <w:qFormat/>
    <w:rPr>
      <w:rFonts w:cs="Courier New"/>
    </w:rPr>
  </w:style>
  <w:style w:type="character" w:styleId="ListLabel100">
    <w:name w:val="ListLabel 100"/>
    <w:qFormat/>
    <w:rPr>
      <w:rFonts w:cs="Wingdings"/>
    </w:rPr>
  </w:style>
  <w:style w:type="character" w:styleId="ListLabel101">
    <w:name w:val="ListLabel 101"/>
    <w:qFormat/>
    <w:rPr>
      <w:rFonts w:cs="Symbol"/>
    </w:rPr>
  </w:style>
  <w:style w:type="character" w:styleId="ListLabel102">
    <w:name w:val="ListLabel 102"/>
    <w:qFormat/>
    <w:rPr>
      <w:rFonts w:cs="Courier New"/>
    </w:rPr>
  </w:style>
  <w:style w:type="character" w:styleId="ListLabel103">
    <w:name w:val="ListLabel 103"/>
    <w:qFormat/>
    <w:rPr>
      <w:rFonts w:cs="Wingdings"/>
    </w:rPr>
  </w:style>
  <w:style w:type="character" w:styleId="ListLabel104">
    <w:name w:val="ListLabel 104"/>
    <w:qFormat/>
    <w:rPr>
      <w:rFonts w:cs="Times New Roman"/>
    </w:rPr>
  </w:style>
  <w:style w:type="character" w:styleId="ListLabel105">
    <w:name w:val="ListLabel 105"/>
    <w:qFormat/>
    <w:rPr>
      <w:rFonts w:cs="Times New Roman"/>
    </w:rPr>
  </w:style>
  <w:style w:type="character" w:styleId="ListLabel106">
    <w:name w:val="ListLabel 106"/>
    <w:qFormat/>
    <w:rPr>
      <w:rFonts w:cs="Times New Roman"/>
    </w:rPr>
  </w:style>
  <w:style w:type="character" w:styleId="ListLabel107">
    <w:name w:val="ListLabel 107"/>
    <w:qFormat/>
    <w:rPr>
      <w:rFonts w:cs="Times New Roman"/>
    </w:rPr>
  </w:style>
  <w:style w:type="character" w:styleId="ListLabel108">
    <w:name w:val="ListLabel 108"/>
    <w:qFormat/>
    <w:rPr>
      <w:rFonts w:cs="Times New Roman"/>
    </w:rPr>
  </w:style>
  <w:style w:type="character" w:styleId="ListLabel109">
    <w:name w:val="ListLabel 109"/>
    <w:qFormat/>
    <w:rPr>
      <w:rFonts w:cs="Wingdings"/>
    </w:rPr>
  </w:style>
  <w:style w:type="character" w:styleId="ListLabel110">
    <w:name w:val="ListLabel 110"/>
    <w:qFormat/>
    <w:rPr>
      <w:rFonts w:cs="Symbol"/>
    </w:rPr>
  </w:style>
  <w:style w:type="character" w:styleId="ListLabel111">
    <w:name w:val="ListLabel 111"/>
    <w:qFormat/>
    <w:rPr>
      <w:rFonts w:cs="Courier New"/>
    </w:rPr>
  </w:style>
  <w:style w:type="character" w:styleId="ListLabel112">
    <w:name w:val="ListLabel 112"/>
    <w:qFormat/>
    <w:rPr>
      <w:rFonts w:cs="Wingdings"/>
    </w:rPr>
  </w:style>
  <w:style w:type="character" w:styleId="ListLabel113">
    <w:name w:val="ListLabel 113"/>
    <w:qFormat/>
    <w:rPr>
      <w:rFonts w:cs="Symbol"/>
    </w:rPr>
  </w:style>
  <w:style w:type="character" w:styleId="ListLabel114">
    <w:name w:val="ListLabel 114"/>
    <w:qFormat/>
    <w:rPr>
      <w:rFonts w:cs="Courier New"/>
    </w:rPr>
  </w:style>
  <w:style w:type="character" w:styleId="ListLabel115">
    <w:name w:val="ListLabel 115"/>
    <w:qFormat/>
    <w:rPr>
      <w:rFonts w:cs="Wingdings"/>
    </w:rPr>
  </w:style>
  <w:style w:type="character" w:styleId="ListLabel116">
    <w:name w:val="ListLabel 116"/>
    <w:qFormat/>
    <w:rPr>
      <w:rFonts w:cs="Times New Roman"/>
    </w:rPr>
  </w:style>
  <w:style w:type="character" w:styleId="ListLabel117">
    <w:name w:val="ListLabel 117"/>
    <w:qFormat/>
    <w:rPr>
      <w:rFonts w:cs="Times New Roman"/>
    </w:rPr>
  </w:style>
  <w:style w:type="character" w:styleId="ListLabel118">
    <w:name w:val="ListLabel 118"/>
    <w:qFormat/>
    <w:rPr>
      <w:rFonts w:cs="Times New Roman"/>
    </w:rPr>
  </w:style>
  <w:style w:type="character" w:styleId="ListLabel119">
    <w:name w:val="ListLabel 119"/>
    <w:qFormat/>
    <w:rPr>
      <w:rFonts w:cs="Times New Roman"/>
    </w:rPr>
  </w:style>
  <w:style w:type="character" w:styleId="ListLabel120">
    <w:name w:val="ListLabel 120"/>
    <w:qFormat/>
    <w:rPr>
      <w:rFonts w:cs="Times New Roman"/>
      <w:b/>
    </w:rPr>
  </w:style>
  <w:style w:type="character" w:styleId="ListLabel121">
    <w:name w:val="ListLabel 121"/>
    <w:qFormat/>
    <w:rPr>
      <w:rFonts w:cs="Courier New"/>
    </w:rPr>
  </w:style>
  <w:style w:type="character" w:styleId="ListLabel122">
    <w:name w:val="ListLabel 122"/>
    <w:qFormat/>
    <w:rPr>
      <w:rFonts w:cs="Wingdings"/>
    </w:rPr>
  </w:style>
  <w:style w:type="character" w:styleId="ListLabel123">
    <w:name w:val="ListLabel 123"/>
    <w:qFormat/>
    <w:rPr>
      <w:rFonts w:cs="Symbol"/>
    </w:rPr>
  </w:style>
  <w:style w:type="character" w:styleId="ListLabel124">
    <w:name w:val="ListLabel 124"/>
    <w:qFormat/>
    <w:rPr>
      <w:rFonts w:cs="Courier New"/>
    </w:rPr>
  </w:style>
  <w:style w:type="character" w:styleId="ListLabel125">
    <w:name w:val="ListLabel 125"/>
    <w:qFormat/>
    <w:rPr>
      <w:rFonts w:cs="Wingdings"/>
    </w:rPr>
  </w:style>
  <w:style w:type="character" w:styleId="ListLabel126">
    <w:name w:val="ListLabel 126"/>
    <w:qFormat/>
    <w:rPr>
      <w:rFonts w:cs="Symbol"/>
    </w:rPr>
  </w:style>
  <w:style w:type="character" w:styleId="ListLabel127">
    <w:name w:val="ListLabel 127"/>
    <w:qFormat/>
    <w:rPr>
      <w:rFonts w:cs="Courier New"/>
    </w:rPr>
  </w:style>
  <w:style w:type="character" w:styleId="ListLabel128">
    <w:name w:val="ListLabel 128"/>
    <w:qFormat/>
    <w:rPr>
      <w:rFonts w:cs="Wingdings"/>
    </w:rPr>
  </w:style>
  <w:style w:type="character" w:styleId="ListLabel129">
    <w:name w:val="ListLabel 129"/>
    <w:qFormat/>
    <w:rPr>
      <w:rFonts w:cs="Times New Roman"/>
    </w:rPr>
  </w:style>
  <w:style w:type="character" w:styleId="ListLabel130">
    <w:name w:val="ListLabel 130"/>
    <w:qFormat/>
    <w:rPr>
      <w:rFonts w:cs="Courier New"/>
    </w:rPr>
  </w:style>
  <w:style w:type="character" w:styleId="ListLabel131">
    <w:name w:val="ListLabel 131"/>
    <w:qFormat/>
    <w:rPr>
      <w:rFonts w:cs="Wingdings"/>
    </w:rPr>
  </w:style>
  <w:style w:type="character" w:styleId="ListLabel132">
    <w:name w:val="ListLabel 132"/>
    <w:qFormat/>
    <w:rPr>
      <w:rFonts w:cs="Symbol"/>
    </w:rPr>
  </w:style>
  <w:style w:type="character" w:styleId="ListLabel133">
    <w:name w:val="ListLabel 133"/>
    <w:qFormat/>
    <w:rPr>
      <w:rFonts w:cs="Courier New"/>
    </w:rPr>
  </w:style>
  <w:style w:type="character" w:styleId="ListLabel134">
    <w:name w:val="ListLabel 134"/>
    <w:qFormat/>
    <w:rPr>
      <w:rFonts w:cs="Wingdings"/>
    </w:rPr>
  </w:style>
  <w:style w:type="character" w:styleId="ListLabel135">
    <w:name w:val="ListLabel 135"/>
    <w:qFormat/>
    <w:rPr>
      <w:rFonts w:cs="Symbol"/>
    </w:rPr>
  </w:style>
  <w:style w:type="character" w:styleId="ListLabel136">
    <w:name w:val="ListLabel 136"/>
    <w:qFormat/>
    <w:rPr>
      <w:rFonts w:cs="Courier New"/>
    </w:rPr>
  </w:style>
  <w:style w:type="character" w:styleId="ListLabel137">
    <w:name w:val="ListLabel 137"/>
    <w:qFormat/>
    <w:rPr>
      <w:rFonts w:cs="Wingdings"/>
    </w:rPr>
  </w:style>
  <w:style w:type="character" w:styleId="ListLabel138">
    <w:name w:val="ListLabel 138"/>
    <w:qFormat/>
    <w:rPr>
      <w:rFonts w:cs="Times New Roman"/>
      <w:b/>
    </w:rPr>
  </w:style>
  <w:style w:type="character" w:styleId="ListLabel139">
    <w:name w:val="ListLabel 139"/>
    <w:qFormat/>
    <w:rPr>
      <w:rFonts w:cs="Courier New"/>
    </w:rPr>
  </w:style>
  <w:style w:type="character" w:styleId="ListLabel140">
    <w:name w:val="ListLabel 140"/>
    <w:qFormat/>
    <w:rPr>
      <w:rFonts w:cs="Wingdings"/>
    </w:rPr>
  </w:style>
  <w:style w:type="character" w:styleId="ListLabel141">
    <w:name w:val="ListLabel 141"/>
    <w:qFormat/>
    <w:rPr>
      <w:rFonts w:cs="Symbol"/>
    </w:rPr>
  </w:style>
  <w:style w:type="character" w:styleId="ListLabel142">
    <w:name w:val="ListLabel 142"/>
    <w:qFormat/>
    <w:rPr>
      <w:rFonts w:cs="Courier New"/>
    </w:rPr>
  </w:style>
  <w:style w:type="character" w:styleId="ListLabel143">
    <w:name w:val="ListLabel 143"/>
    <w:qFormat/>
    <w:rPr>
      <w:rFonts w:cs="Wingdings"/>
    </w:rPr>
  </w:style>
  <w:style w:type="character" w:styleId="ListLabel144">
    <w:name w:val="ListLabel 144"/>
    <w:qFormat/>
    <w:rPr>
      <w:rFonts w:cs="Symbol"/>
    </w:rPr>
  </w:style>
  <w:style w:type="character" w:styleId="ListLabel145">
    <w:name w:val="ListLabel 145"/>
    <w:qFormat/>
    <w:rPr>
      <w:rFonts w:cs="Courier New"/>
    </w:rPr>
  </w:style>
  <w:style w:type="character" w:styleId="ListLabel146">
    <w:name w:val="ListLabel 146"/>
    <w:qFormat/>
    <w:rPr>
      <w:rFonts w:cs="Wingdings"/>
    </w:rPr>
  </w:style>
  <w:style w:type="character" w:styleId="ListLabel147">
    <w:name w:val="ListLabel 147"/>
    <w:qFormat/>
    <w:rPr>
      <w:rFonts w:cs="Times New Roman"/>
      <w:b/>
    </w:rPr>
  </w:style>
  <w:style w:type="character" w:styleId="ListLabel148">
    <w:name w:val="ListLabel 148"/>
    <w:qFormat/>
    <w:rPr>
      <w:rFonts w:cs="Courier New"/>
    </w:rPr>
  </w:style>
  <w:style w:type="character" w:styleId="ListLabel149">
    <w:name w:val="ListLabel 149"/>
    <w:qFormat/>
    <w:rPr>
      <w:rFonts w:cs="Wingdings"/>
    </w:rPr>
  </w:style>
  <w:style w:type="character" w:styleId="ListLabel150">
    <w:name w:val="ListLabel 150"/>
    <w:qFormat/>
    <w:rPr>
      <w:rFonts w:cs="Symbol"/>
    </w:rPr>
  </w:style>
  <w:style w:type="character" w:styleId="ListLabel151">
    <w:name w:val="ListLabel 151"/>
    <w:qFormat/>
    <w:rPr>
      <w:rFonts w:cs="Courier New"/>
    </w:rPr>
  </w:style>
  <w:style w:type="character" w:styleId="ListLabel152">
    <w:name w:val="ListLabel 152"/>
    <w:qFormat/>
    <w:rPr>
      <w:rFonts w:cs="Wingdings"/>
    </w:rPr>
  </w:style>
  <w:style w:type="character" w:styleId="ListLabel153">
    <w:name w:val="ListLabel 153"/>
    <w:qFormat/>
    <w:rPr>
      <w:rFonts w:cs="Symbol"/>
    </w:rPr>
  </w:style>
  <w:style w:type="character" w:styleId="ListLabel154">
    <w:name w:val="ListLabel 154"/>
    <w:qFormat/>
    <w:rPr>
      <w:rFonts w:cs="Courier New"/>
    </w:rPr>
  </w:style>
  <w:style w:type="character" w:styleId="ListLabel155">
    <w:name w:val="ListLabel 155"/>
    <w:qFormat/>
    <w:rPr>
      <w:rFonts w:cs="Wingdings"/>
    </w:rPr>
  </w:style>
  <w:style w:type="character" w:styleId="ListLabel156">
    <w:name w:val="ListLabel 156"/>
    <w:qFormat/>
    <w:rPr>
      <w:rFonts w:cs="Times New Roman"/>
    </w:rPr>
  </w:style>
  <w:style w:type="character" w:styleId="ListLabel157">
    <w:name w:val="ListLabel 157"/>
    <w:qFormat/>
    <w:rPr>
      <w:rFonts w:cs="Courier New"/>
    </w:rPr>
  </w:style>
  <w:style w:type="character" w:styleId="ListLabel158">
    <w:name w:val="ListLabel 158"/>
    <w:qFormat/>
    <w:rPr>
      <w:rFonts w:cs="Wingdings"/>
    </w:rPr>
  </w:style>
  <w:style w:type="character" w:styleId="ListLabel159">
    <w:name w:val="ListLabel 159"/>
    <w:qFormat/>
    <w:rPr>
      <w:rFonts w:cs="Symbol"/>
    </w:rPr>
  </w:style>
  <w:style w:type="character" w:styleId="ListLabel160">
    <w:name w:val="ListLabel 160"/>
    <w:qFormat/>
    <w:rPr>
      <w:rFonts w:cs="Courier New"/>
    </w:rPr>
  </w:style>
  <w:style w:type="character" w:styleId="ListLabel161">
    <w:name w:val="ListLabel 161"/>
    <w:qFormat/>
    <w:rPr>
      <w:rFonts w:cs="Wingdings"/>
    </w:rPr>
  </w:style>
  <w:style w:type="character" w:styleId="ListLabel162">
    <w:name w:val="ListLabel 162"/>
    <w:qFormat/>
    <w:rPr>
      <w:rFonts w:cs="Symbol"/>
    </w:rPr>
  </w:style>
  <w:style w:type="character" w:styleId="ListLabel163">
    <w:name w:val="ListLabel 163"/>
    <w:qFormat/>
    <w:rPr>
      <w:rFonts w:cs="Courier New"/>
    </w:rPr>
  </w:style>
  <w:style w:type="character" w:styleId="ListLabel164">
    <w:name w:val="ListLabel 164"/>
    <w:qFormat/>
    <w:rPr>
      <w:rFonts w:cs="Wingdings"/>
    </w:rPr>
  </w:style>
  <w:style w:type="character" w:styleId="ListLabel165">
    <w:name w:val="ListLabel 165"/>
    <w:qFormat/>
    <w:rPr>
      <w:rFonts w:cs="Wingdings"/>
    </w:rPr>
  </w:style>
  <w:style w:type="character" w:styleId="ListLabel166">
    <w:name w:val="ListLabel 166"/>
    <w:qFormat/>
    <w:rPr>
      <w:rFonts w:cs="Courier New"/>
    </w:rPr>
  </w:style>
  <w:style w:type="character" w:styleId="ListLabel167">
    <w:name w:val="ListLabel 167"/>
    <w:qFormat/>
    <w:rPr>
      <w:rFonts w:cs="Wingdings"/>
    </w:rPr>
  </w:style>
  <w:style w:type="character" w:styleId="ListLabel168">
    <w:name w:val="ListLabel 168"/>
    <w:qFormat/>
    <w:rPr>
      <w:rFonts w:cs="Symbol"/>
    </w:rPr>
  </w:style>
  <w:style w:type="character" w:styleId="ListLabel169">
    <w:name w:val="ListLabel 169"/>
    <w:qFormat/>
    <w:rPr>
      <w:rFonts w:cs="Courier New"/>
    </w:rPr>
  </w:style>
  <w:style w:type="character" w:styleId="ListLabel170">
    <w:name w:val="ListLabel 170"/>
    <w:qFormat/>
    <w:rPr>
      <w:rFonts w:cs="Wingdings"/>
    </w:rPr>
  </w:style>
  <w:style w:type="character" w:styleId="ListLabel171">
    <w:name w:val="ListLabel 171"/>
    <w:qFormat/>
    <w:rPr>
      <w:rFonts w:cs="Symbol"/>
    </w:rPr>
  </w:style>
  <w:style w:type="character" w:styleId="ListLabel172">
    <w:name w:val="ListLabel 172"/>
    <w:qFormat/>
    <w:rPr>
      <w:rFonts w:cs="Courier New"/>
    </w:rPr>
  </w:style>
  <w:style w:type="character" w:styleId="ListLabel173">
    <w:name w:val="ListLabel 173"/>
    <w:qFormat/>
    <w:rPr>
      <w:rFonts w:cs="Wingdings"/>
    </w:rPr>
  </w:style>
  <w:style w:type="character" w:styleId="ListLabel174">
    <w:name w:val="ListLabel 174"/>
    <w:qFormat/>
    <w:rPr/>
  </w:style>
  <w:style w:type="paragraph" w:styleId="Titre">
    <w:name w:val="Titre"/>
    <w:basedOn w:val="Normal"/>
    <w:next w:val="Corpsdetexte"/>
    <w:qFormat/>
    <w:pPr>
      <w:keepNext w:val="true"/>
      <w:spacing w:before="240" w:after="120"/>
    </w:pPr>
    <w:rPr>
      <w:rFonts w:ascii="Liberation Sans" w:hAnsi="Liberation Sans" w:eastAsia="Microsoft YaHei" w:cs="Mangal"/>
      <w:sz w:val="28"/>
      <w:szCs w:val="28"/>
    </w:rPr>
  </w:style>
  <w:style w:type="paragraph" w:styleId="Corpsdetexte">
    <w:name w:val="Body Text"/>
    <w:basedOn w:val="Normal"/>
    <w:link w:val="CorpsdetexteCar"/>
    <w:semiHidden/>
    <w:rsid w:val="005261c3"/>
    <w:pPr>
      <w:jc w:val="both"/>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Retraitdecorpsdetexte">
    <w:name w:val="Body Text Indent"/>
    <w:basedOn w:val="Normal"/>
    <w:link w:val="RetraitcorpsdetexteCar"/>
    <w:semiHidden/>
    <w:rsid w:val="005261c3"/>
    <w:pPr>
      <w:ind w:left="3960" w:hanging="0"/>
      <w:jc w:val="both"/>
    </w:pPr>
    <w:rPr/>
  </w:style>
  <w:style w:type="paragraph" w:styleId="BodyText2">
    <w:name w:val="Body Text 2"/>
    <w:basedOn w:val="Normal"/>
    <w:link w:val="Corpsdetexte2Car"/>
    <w:semiHidden/>
    <w:qFormat/>
    <w:rsid w:val="005261c3"/>
    <w:pPr>
      <w:jc w:val="both"/>
    </w:pPr>
    <w:rPr>
      <w:b/>
      <w:bCs/>
    </w:rPr>
  </w:style>
  <w:style w:type="paragraph" w:styleId="ListParagraph">
    <w:name w:val="List Paragraph"/>
    <w:basedOn w:val="Normal"/>
    <w:uiPriority w:val="34"/>
    <w:qFormat/>
    <w:rsid w:val="00d30f70"/>
    <w:pPr>
      <w:spacing w:before="0" w:after="0"/>
      <w:ind w:left="720" w:hanging="0"/>
      <w:contextualSpacing/>
    </w:pPr>
    <w:rPr/>
  </w:style>
  <w:style w:type="paragraph" w:styleId="BalloonText">
    <w:name w:val="Balloon Text"/>
    <w:basedOn w:val="Normal"/>
    <w:link w:val="TextedebullesCar"/>
    <w:uiPriority w:val="99"/>
    <w:semiHidden/>
    <w:unhideWhenUsed/>
    <w:qFormat/>
    <w:rsid w:val="00017ab2"/>
    <w:pPr/>
    <w:rPr>
      <w:rFonts w:ascii="Tahoma" w:hAnsi="Tahoma" w:cs="Tahoma"/>
      <w:sz w:val="16"/>
      <w:szCs w:val="16"/>
    </w:rPr>
  </w:style>
  <w:style w:type="paragraph" w:styleId="Entte">
    <w:name w:val="Header"/>
    <w:basedOn w:val="Normal"/>
    <w:link w:val="En-tteCar"/>
    <w:uiPriority w:val="99"/>
    <w:unhideWhenUsed/>
    <w:rsid w:val="00071602"/>
    <w:pPr>
      <w:tabs>
        <w:tab w:val="clear" w:pos="708"/>
        <w:tab w:val="center" w:pos="4536" w:leader="none"/>
        <w:tab w:val="right" w:pos="9072" w:leader="none"/>
      </w:tabs>
    </w:pPr>
    <w:rPr/>
  </w:style>
  <w:style w:type="paragraph" w:styleId="Pieddepage">
    <w:name w:val="Footer"/>
    <w:basedOn w:val="Normal"/>
    <w:link w:val="PieddepageCar"/>
    <w:uiPriority w:val="99"/>
    <w:unhideWhenUsed/>
    <w:rsid w:val="00071602"/>
    <w:pPr>
      <w:tabs>
        <w:tab w:val="clear" w:pos="708"/>
        <w:tab w:val="center" w:pos="4536" w:leader="none"/>
        <w:tab w:val="right" w:pos="9072" w:leader="none"/>
      </w:tabs>
    </w:pPr>
    <w:rPr/>
  </w:style>
  <w:style w:type="paragraph" w:styleId="NormalWeb">
    <w:name w:val="Normal (Web)"/>
    <w:basedOn w:val="Normal"/>
    <w:uiPriority w:val="99"/>
    <w:unhideWhenUsed/>
    <w:qFormat/>
    <w:rsid w:val="007175b1"/>
    <w:pPr>
      <w:spacing w:beforeAutospacing="1" w:afterAutospacing="1"/>
    </w:pPr>
    <w:rPr/>
  </w:style>
  <w:style w:type="paragraph" w:styleId="Contenudecadre">
    <w:name w:val="Contenu de cadre"/>
    <w:basedOn w:val="Normal"/>
    <w:qFormat/>
    <w:pPr/>
    <w:rPr/>
  </w:style>
  <w:style w:type="numbering" w:styleId="NoList" w:default="1">
    <w:name w:val="No List"/>
    <w:uiPriority w:val="99"/>
    <w:semiHidden/>
    <w:unhideWhenUsed/>
    <w:qFormat/>
  </w:style>
  <w:style w:type="numbering" w:styleId="Aucuneliste1" w:customStyle="1">
    <w:name w:val="Aucune liste1"/>
    <w:uiPriority w:val="99"/>
    <w:semiHidden/>
    <w:unhideWhenUsed/>
    <w:qFormat/>
    <w:rsid w:val="00942fd8"/>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13" Type="http://schemas.openxmlformats.org/officeDocument/2006/relationships/image" Target="media/image12.jpeg"/><Relationship Id="rId18" Type="http://schemas.openxmlformats.org/officeDocument/2006/relationships/image" Target="media/image17.jpeg"/><Relationship Id="rId26" Type="http://schemas.openxmlformats.org/officeDocument/2006/relationships/footer" Target="footer1.xml"/><Relationship Id="rId39" Type="http://schemas.openxmlformats.org/officeDocument/2006/relationships/image" Target="media/image33.wmf"/><Relationship Id="rId21" Type="http://schemas.openxmlformats.org/officeDocument/2006/relationships/image" Target="media/image20.jpeg"/><Relationship Id="rId34" Type="http://schemas.openxmlformats.org/officeDocument/2006/relationships/image" Target="media/image28.jpeg"/><Relationship Id="rId42" Type="http://schemas.openxmlformats.org/officeDocument/2006/relationships/numbering" Target="numbering.xml"/><Relationship Id="rId47" Type="http://schemas.openxmlformats.org/officeDocument/2006/relationships/customXml" Target="../customXml/item2.xml"/><Relationship Id="rId7" Type="http://schemas.openxmlformats.org/officeDocument/2006/relationships/image" Target="media/image6.jpeg"/><Relationship Id="rId2" Type="http://schemas.openxmlformats.org/officeDocument/2006/relationships/image" Target="media/image1.wmf"/><Relationship Id="rId16" Type="http://schemas.openxmlformats.org/officeDocument/2006/relationships/image" Target="media/image15.jpeg"/><Relationship Id="rId29" Type="http://schemas.openxmlformats.org/officeDocument/2006/relationships/footer" Target="footer4.xml"/><Relationship Id="rId1" Type="http://schemas.openxmlformats.org/officeDocument/2006/relationships/styles" Target="styles.xml"/><Relationship Id="rId6" Type="http://schemas.openxmlformats.org/officeDocument/2006/relationships/image" Target="media/image5.jpeg"/><Relationship Id="rId11" Type="http://schemas.openxmlformats.org/officeDocument/2006/relationships/image" Target="media/image10.jpeg"/><Relationship Id="rId24" Type="http://schemas.openxmlformats.org/officeDocument/2006/relationships/image" Target="media/image23.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wmf"/><Relationship Id="rId45" Type="http://schemas.openxmlformats.org/officeDocument/2006/relationships/theme" Target="theme/theme1.xml"/><Relationship Id="rId5" Type="http://schemas.openxmlformats.org/officeDocument/2006/relationships/image" Target="media/image4.jpeg"/><Relationship Id="rId15" Type="http://schemas.openxmlformats.org/officeDocument/2006/relationships/image" Target="media/image14.jpeg"/><Relationship Id="rId23" Type="http://schemas.openxmlformats.org/officeDocument/2006/relationships/image" Target="media/image22.jpeg"/><Relationship Id="rId28" Type="http://schemas.openxmlformats.org/officeDocument/2006/relationships/footer" Target="footer3.xml"/><Relationship Id="rId36" Type="http://schemas.openxmlformats.org/officeDocument/2006/relationships/image" Target="media/image30.jpeg"/><Relationship Id="rId10" Type="http://schemas.openxmlformats.org/officeDocument/2006/relationships/image" Target="media/image9.jpeg"/><Relationship Id="rId19" Type="http://schemas.openxmlformats.org/officeDocument/2006/relationships/image" Target="media/image18.jpeg"/><Relationship Id="rId31" Type="http://schemas.openxmlformats.org/officeDocument/2006/relationships/image" Target="media/image25.jpeg"/><Relationship Id="rId44" Type="http://schemas.openxmlformats.org/officeDocument/2006/relationships/settings" Target="settings.xml"/><Relationship Id="rId4" Type="http://schemas.openxmlformats.org/officeDocument/2006/relationships/image" Target="media/image3.jpeg"/><Relationship Id="rId9" Type="http://schemas.openxmlformats.org/officeDocument/2006/relationships/image" Target="media/image8.jpeg"/><Relationship Id="rId14" Type="http://schemas.openxmlformats.org/officeDocument/2006/relationships/image" Target="media/image13.jpeg"/><Relationship Id="rId22" Type="http://schemas.openxmlformats.org/officeDocument/2006/relationships/image" Target="media/image21.jpeg"/><Relationship Id="rId27" Type="http://schemas.openxmlformats.org/officeDocument/2006/relationships/footer" Target="footer2.xml"/><Relationship Id="rId30" Type="http://schemas.openxmlformats.org/officeDocument/2006/relationships/footer" Target="footer5.xml"/><Relationship Id="rId35" Type="http://schemas.openxmlformats.org/officeDocument/2006/relationships/image" Target="media/image29.jpeg"/><Relationship Id="rId43" Type="http://schemas.openxmlformats.org/officeDocument/2006/relationships/fontTable" Target="fontTable.xml"/><Relationship Id="rId48" Type="http://schemas.openxmlformats.org/officeDocument/2006/relationships/customXml" Target="../customXml/item3.xml"/><Relationship Id="rId8" Type="http://schemas.openxmlformats.org/officeDocument/2006/relationships/image" Target="media/image7.jpeg"/><Relationship Id="rId3" Type="http://schemas.openxmlformats.org/officeDocument/2006/relationships/image" Target="media/image2.jpeg"/><Relationship Id="rId12" Type="http://schemas.openxmlformats.org/officeDocument/2006/relationships/image" Target="media/image11.jpeg"/><Relationship Id="rId17" Type="http://schemas.openxmlformats.org/officeDocument/2006/relationships/image" Target="media/image16.jpeg"/><Relationship Id="rId25" Type="http://schemas.openxmlformats.org/officeDocument/2006/relationships/image" Target="media/image24.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customXml" Target="../customXml/item1.xml"/><Relationship Id="rId20" Type="http://schemas.openxmlformats.org/officeDocument/2006/relationships/image" Target="media/image19.jpeg"/><Relationship Id="rId41" Type="http://schemas.openxmlformats.org/officeDocument/2006/relationships/footer" Target="footer6.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80249CF90AB24BBBC6EFA91E5676B0" ma:contentTypeVersion="1" ma:contentTypeDescription="Crée un document." ma:contentTypeScope="" ma:versionID="9e9bf11bad2269c0b65f27fda34b5045">
  <xsd:schema xmlns:xsd="http://www.w3.org/2001/XMLSchema" xmlns:xs="http://www.w3.org/2001/XMLSchema" xmlns:p="http://schemas.microsoft.com/office/2006/metadata/properties" xmlns:ns2="9b2d6774-1410-4e3a-b94c-2a19e0b1e1b0" targetNamespace="http://schemas.microsoft.com/office/2006/metadata/properties" ma:root="true" ma:fieldsID="e5f272886c14b0807b0eb482a59f36cc" ns2:_="">
    <xsd:import namespace="9b2d6774-1410-4e3a-b94c-2a19e0b1e1b0"/>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2d6774-1410-4e3a-b94c-2a19e0b1e1b0"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3B23EED-7FC3-4BD2-A173-6970648AB514}"/>
</file>

<file path=customXml/itemProps2.xml><?xml version="1.0" encoding="utf-8"?>
<ds:datastoreItem xmlns:ds="http://schemas.openxmlformats.org/officeDocument/2006/customXml" ds:itemID="{BA7B134D-6570-423C-B66C-1AB2B919A953}"/>
</file>

<file path=customXml/itemProps3.xml><?xml version="1.0" encoding="utf-8"?>
<ds:datastoreItem xmlns:ds="http://schemas.openxmlformats.org/officeDocument/2006/customXml" ds:itemID="{02CC9793-B4FE-461C-B2A0-E04BA781A982}"/>
</file>

<file path=docProps/app.xml><?xml version="1.0" encoding="utf-8"?>
<Properties xmlns="http://schemas.openxmlformats.org/officeDocument/2006/extended-properties" xmlns:vt="http://schemas.openxmlformats.org/officeDocument/2006/docPropsVTypes">
  <Template>Normal</Template>
  <TotalTime>0</TotalTime>
  <Application>LibreOffice/6.1.6.3.M9$Windows_X86_64 LibreOffice_project/ba0884e6ed0832b75b86e5a1cd45ee961485837a</Application>
  <Pages>79</Pages>
  <Words>12021</Words>
  <Characters>65613</Characters>
  <CharactersWithSpaces>77648</CharactersWithSpaces>
  <Paragraphs>1282</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
  <cp:revision>1</cp:revision>
  <dcterms:created xsi:type="dcterms:W3CDTF">2020-09-22T13:58:47Z</dcterms:creat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ContentTypeId">
    <vt:lpwstr>0x010100FE80249CF90AB24BBBC6EFA91E5676B0</vt:lpwstr>
  </property>
</Properties>
</file>